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55BA5C" w14:textId="0A5E5906" w:rsidR="00F82214" w:rsidRPr="002F30CC" w:rsidRDefault="00F82214" w:rsidP="00F82214">
      <w:pPr>
        <w:tabs>
          <w:tab w:val="left" w:pos="1134"/>
        </w:tabs>
        <w:spacing w:line="240" w:lineRule="auto"/>
        <w:ind w:firstLine="567"/>
        <w:contextualSpacing/>
        <w:jc w:val="left"/>
        <w:rPr>
          <w:b/>
          <w:bCs/>
          <w:iCs/>
          <w:sz w:val="24"/>
          <w:szCs w:val="24"/>
          <w:u w:val="single"/>
        </w:rPr>
      </w:pPr>
      <w:r w:rsidRPr="002F30CC">
        <w:rPr>
          <w:bCs/>
          <w:iCs/>
          <w:sz w:val="24"/>
          <w:szCs w:val="24"/>
        </w:rPr>
        <w:t>Егорова Елена Викторовна выступила на заседании комиссии по противодействию коррупции Ленинского городского округа, которое состоялось 1 ноября 2023 года в 11.00 часов в зале заседаний Администрации Ленинского городского округа.</w:t>
      </w:r>
    </w:p>
    <w:p w14:paraId="025F23D5" w14:textId="77777777" w:rsidR="00FC37BA" w:rsidRPr="002F30CC" w:rsidRDefault="00FC37BA" w:rsidP="0079172C">
      <w:pPr>
        <w:tabs>
          <w:tab w:val="left" w:pos="1134"/>
        </w:tabs>
        <w:spacing w:line="240" w:lineRule="auto"/>
        <w:ind w:firstLine="567"/>
        <w:contextualSpacing/>
        <w:jc w:val="center"/>
        <w:rPr>
          <w:b/>
          <w:bCs/>
          <w:iCs/>
          <w:sz w:val="24"/>
          <w:szCs w:val="24"/>
          <w:u w:val="single"/>
        </w:rPr>
      </w:pPr>
      <w:bookmarkStart w:id="0" w:name="_GoBack"/>
      <w:bookmarkEnd w:id="0"/>
    </w:p>
    <w:p w14:paraId="7AD9BC90" w14:textId="61C52901" w:rsidR="00F82214" w:rsidRPr="002F30CC" w:rsidRDefault="00FC37BA" w:rsidP="0079172C">
      <w:pPr>
        <w:tabs>
          <w:tab w:val="left" w:pos="1134"/>
        </w:tabs>
        <w:spacing w:line="240" w:lineRule="auto"/>
        <w:ind w:firstLine="567"/>
        <w:contextualSpacing/>
        <w:jc w:val="center"/>
        <w:rPr>
          <w:b/>
          <w:bCs/>
          <w:iCs/>
          <w:sz w:val="24"/>
          <w:szCs w:val="24"/>
          <w:u w:val="single"/>
        </w:rPr>
      </w:pPr>
      <w:r w:rsidRPr="002F30CC">
        <w:rPr>
          <w:b/>
          <w:bCs/>
          <w:iCs/>
          <w:sz w:val="24"/>
          <w:szCs w:val="24"/>
          <w:u w:val="single"/>
        </w:rPr>
        <w:t>ДОКЛАД на тему</w:t>
      </w:r>
      <w:r w:rsidR="00B544B9" w:rsidRPr="002F30CC">
        <w:rPr>
          <w:b/>
          <w:bCs/>
          <w:iCs/>
          <w:sz w:val="24"/>
          <w:szCs w:val="24"/>
          <w:u w:val="single"/>
        </w:rPr>
        <w:t>:</w:t>
      </w:r>
    </w:p>
    <w:p w14:paraId="727518FF" w14:textId="4DED2174" w:rsidR="00FB3208" w:rsidRPr="002F30CC" w:rsidRDefault="00103A8A" w:rsidP="0079172C">
      <w:pPr>
        <w:tabs>
          <w:tab w:val="left" w:pos="1134"/>
        </w:tabs>
        <w:spacing w:line="240" w:lineRule="auto"/>
        <w:ind w:firstLine="567"/>
        <w:contextualSpacing/>
        <w:jc w:val="center"/>
        <w:rPr>
          <w:b/>
          <w:bCs/>
          <w:iCs/>
          <w:sz w:val="24"/>
          <w:szCs w:val="24"/>
          <w:u w:val="single"/>
        </w:rPr>
      </w:pPr>
      <w:r w:rsidRPr="002F30CC">
        <w:rPr>
          <w:b/>
          <w:bCs/>
          <w:iCs/>
          <w:sz w:val="24"/>
          <w:szCs w:val="24"/>
          <w:u w:val="single"/>
        </w:rPr>
        <w:t>Нарушения, выявляемые органами внешнего муниципального финансового контроля</w:t>
      </w:r>
      <w:r w:rsidR="00864C74" w:rsidRPr="002F30CC">
        <w:rPr>
          <w:b/>
          <w:bCs/>
          <w:iCs/>
          <w:sz w:val="24"/>
          <w:szCs w:val="24"/>
          <w:u w:val="single"/>
        </w:rPr>
        <w:t xml:space="preserve">, содержащие признаки </w:t>
      </w:r>
    </w:p>
    <w:p w14:paraId="67CCF228" w14:textId="7D459BC0" w:rsidR="00103A8A" w:rsidRPr="002F30CC" w:rsidRDefault="00864C74" w:rsidP="0079172C">
      <w:pPr>
        <w:tabs>
          <w:tab w:val="left" w:pos="1134"/>
        </w:tabs>
        <w:spacing w:line="240" w:lineRule="auto"/>
        <w:ind w:firstLine="567"/>
        <w:contextualSpacing/>
        <w:jc w:val="center"/>
        <w:rPr>
          <w:b/>
          <w:bCs/>
          <w:iCs/>
          <w:sz w:val="24"/>
          <w:szCs w:val="24"/>
          <w:u w:val="single"/>
        </w:rPr>
      </w:pPr>
      <w:r w:rsidRPr="002F30CC">
        <w:rPr>
          <w:b/>
          <w:bCs/>
          <w:iCs/>
          <w:sz w:val="24"/>
          <w:szCs w:val="24"/>
          <w:u w:val="single"/>
        </w:rPr>
        <w:t>коррупционных нарушений</w:t>
      </w:r>
      <w:r w:rsidR="00103A8A" w:rsidRPr="002F30CC">
        <w:rPr>
          <w:b/>
          <w:bCs/>
          <w:iCs/>
          <w:sz w:val="24"/>
          <w:szCs w:val="24"/>
          <w:u w:val="single"/>
        </w:rPr>
        <w:t xml:space="preserve"> </w:t>
      </w:r>
    </w:p>
    <w:p w14:paraId="0F5EB504" w14:textId="77777777" w:rsidR="00103A8A" w:rsidRPr="002F30CC" w:rsidRDefault="00103A8A" w:rsidP="00103A8A">
      <w:pPr>
        <w:tabs>
          <w:tab w:val="left" w:pos="1134"/>
        </w:tabs>
        <w:spacing w:before="150" w:after="100" w:afterAutospacing="1" w:line="240" w:lineRule="auto"/>
        <w:ind w:firstLine="567"/>
        <w:contextualSpacing/>
        <w:jc w:val="center"/>
        <w:rPr>
          <w:bCs/>
          <w:iCs/>
          <w:sz w:val="24"/>
          <w:szCs w:val="24"/>
        </w:rPr>
      </w:pPr>
    </w:p>
    <w:p w14:paraId="14369D17" w14:textId="77777777" w:rsidR="00864C74" w:rsidRPr="002F30CC" w:rsidRDefault="00864C74" w:rsidP="00827125">
      <w:pPr>
        <w:spacing w:line="240" w:lineRule="auto"/>
        <w:ind w:firstLine="567"/>
        <w:rPr>
          <w:bCs/>
          <w:sz w:val="24"/>
          <w:szCs w:val="24"/>
        </w:rPr>
      </w:pPr>
      <w:r w:rsidRPr="002F30CC">
        <w:rPr>
          <w:bCs/>
          <w:sz w:val="24"/>
          <w:szCs w:val="24"/>
        </w:rPr>
        <w:t xml:space="preserve">Любая управленческая деятельность, в том числе связанная с использованием бюджетных средств, подвержена коррупционным рискам. </w:t>
      </w:r>
    </w:p>
    <w:p w14:paraId="0E3529D0" w14:textId="77777777" w:rsidR="00864C74" w:rsidRPr="002F30CC" w:rsidRDefault="00864C74" w:rsidP="00827125">
      <w:pPr>
        <w:autoSpaceDE w:val="0"/>
        <w:autoSpaceDN w:val="0"/>
        <w:adjustRightInd w:val="0"/>
        <w:spacing w:line="240" w:lineRule="auto"/>
        <w:ind w:firstLine="567"/>
        <w:rPr>
          <w:sz w:val="24"/>
          <w:szCs w:val="24"/>
        </w:rPr>
      </w:pPr>
      <w:r w:rsidRPr="002F30CC">
        <w:rPr>
          <w:sz w:val="24"/>
          <w:szCs w:val="24"/>
        </w:rPr>
        <w:t xml:space="preserve">Что понимается под </w:t>
      </w:r>
      <w:r w:rsidRPr="002F30CC">
        <w:rPr>
          <w:sz w:val="24"/>
          <w:szCs w:val="24"/>
          <w:u w:val="single"/>
        </w:rPr>
        <w:t>коррупционными рисками</w:t>
      </w:r>
      <w:r w:rsidRPr="002F30CC">
        <w:rPr>
          <w:sz w:val="24"/>
          <w:szCs w:val="24"/>
        </w:rPr>
        <w:t>:</w:t>
      </w:r>
    </w:p>
    <w:p w14:paraId="2891DBB8" w14:textId="77777777" w:rsidR="00864C74" w:rsidRPr="002F30CC" w:rsidRDefault="00864C74" w:rsidP="00827125">
      <w:pPr>
        <w:autoSpaceDE w:val="0"/>
        <w:autoSpaceDN w:val="0"/>
        <w:adjustRightInd w:val="0"/>
        <w:spacing w:line="240" w:lineRule="auto"/>
        <w:ind w:firstLine="567"/>
        <w:rPr>
          <w:sz w:val="24"/>
          <w:szCs w:val="24"/>
        </w:rPr>
      </w:pPr>
      <w:r w:rsidRPr="002F30CC">
        <w:rPr>
          <w:sz w:val="24"/>
          <w:szCs w:val="24"/>
        </w:rPr>
        <w:t xml:space="preserve">- </w:t>
      </w:r>
      <w:r w:rsidRPr="002F30CC">
        <w:rPr>
          <w:sz w:val="24"/>
          <w:szCs w:val="24"/>
          <w:u w:val="single"/>
        </w:rPr>
        <w:t>наличие обстоятельств</w:t>
      </w:r>
      <w:r w:rsidRPr="002F30CC">
        <w:rPr>
          <w:sz w:val="24"/>
          <w:szCs w:val="24"/>
        </w:rPr>
        <w:t xml:space="preserve">, </w:t>
      </w:r>
      <w:r w:rsidRPr="002F30CC">
        <w:rPr>
          <w:sz w:val="24"/>
          <w:szCs w:val="24"/>
          <w:u w:val="single"/>
        </w:rPr>
        <w:t>провоцирующих</w:t>
      </w:r>
      <w:r w:rsidRPr="002F30CC">
        <w:rPr>
          <w:sz w:val="24"/>
          <w:szCs w:val="24"/>
        </w:rPr>
        <w:t xml:space="preserve"> должностных лиц муниципальных органов, учреждений, организаций на незаконное использование должностного положения в целях получения выгоды для себя или третьих лиц, либо незаконное предоставление такой выгоды указанному лицу, другим физическим лицам;</w:t>
      </w:r>
    </w:p>
    <w:p w14:paraId="7EA6DC6F" w14:textId="77777777" w:rsidR="00864C74" w:rsidRPr="002F30CC" w:rsidRDefault="00864C74" w:rsidP="00827125">
      <w:pPr>
        <w:autoSpaceDE w:val="0"/>
        <w:autoSpaceDN w:val="0"/>
        <w:adjustRightInd w:val="0"/>
        <w:spacing w:line="240" w:lineRule="auto"/>
        <w:ind w:firstLine="567"/>
        <w:rPr>
          <w:sz w:val="24"/>
          <w:szCs w:val="24"/>
        </w:rPr>
      </w:pPr>
      <w:r w:rsidRPr="002F30CC">
        <w:rPr>
          <w:sz w:val="24"/>
          <w:szCs w:val="24"/>
        </w:rPr>
        <w:t xml:space="preserve">- </w:t>
      </w:r>
      <w:r w:rsidRPr="002F30CC">
        <w:rPr>
          <w:sz w:val="24"/>
          <w:szCs w:val="24"/>
          <w:u w:val="single"/>
        </w:rPr>
        <w:t>нормативные правовые конструкции актов законодательства и (или) изданные во исполнение их распорядительные акты</w:t>
      </w:r>
      <w:r w:rsidRPr="002F30CC">
        <w:rPr>
          <w:sz w:val="24"/>
          <w:szCs w:val="24"/>
        </w:rPr>
        <w:t xml:space="preserve">, </w:t>
      </w:r>
      <w:r w:rsidRPr="002F30CC">
        <w:rPr>
          <w:sz w:val="24"/>
          <w:szCs w:val="24"/>
          <w:u w:val="single"/>
        </w:rPr>
        <w:t>создающие возможности для совершения коррупционных правонарушений в процессе реализации положений нормативного правового акта,</w:t>
      </w:r>
      <w:r w:rsidRPr="002F30CC">
        <w:rPr>
          <w:sz w:val="24"/>
          <w:szCs w:val="24"/>
        </w:rPr>
        <w:t xml:space="preserve"> а также действия (бездействие) должностных лиц, дающие основания предполагать о совершении коррупционного правонарушения.</w:t>
      </w:r>
    </w:p>
    <w:p w14:paraId="6263902C" w14:textId="77777777" w:rsidR="00864C74" w:rsidRPr="002F30CC" w:rsidRDefault="00864C74" w:rsidP="00827125">
      <w:pPr>
        <w:tabs>
          <w:tab w:val="left" w:pos="1134"/>
        </w:tabs>
        <w:spacing w:before="150" w:after="100" w:afterAutospacing="1" w:line="240" w:lineRule="auto"/>
        <w:ind w:firstLine="567"/>
        <w:contextualSpacing/>
        <w:rPr>
          <w:bCs/>
          <w:iCs/>
          <w:sz w:val="24"/>
          <w:szCs w:val="24"/>
        </w:rPr>
      </w:pPr>
    </w:p>
    <w:p w14:paraId="209EDFF2" w14:textId="77777777" w:rsidR="00864C74" w:rsidRPr="002F30CC" w:rsidRDefault="00864C74" w:rsidP="00827125">
      <w:pPr>
        <w:spacing w:line="240" w:lineRule="auto"/>
        <w:ind w:firstLine="567"/>
        <w:rPr>
          <w:rFonts w:asciiTheme="majorHAnsi" w:eastAsiaTheme="majorEastAsia" w:hAnsi="Arial" w:cstheme="majorBidi"/>
          <w:bCs/>
          <w:color w:val="000000" w:themeColor="text1"/>
          <w:sz w:val="24"/>
          <w:szCs w:val="24"/>
        </w:rPr>
      </w:pPr>
      <w:r w:rsidRPr="002F30CC">
        <w:rPr>
          <w:bCs/>
          <w:sz w:val="24"/>
          <w:szCs w:val="24"/>
          <w:u w:val="single"/>
        </w:rPr>
        <w:t>Оценка коррупционных рисков</w:t>
      </w:r>
      <w:r w:rsidRPr="002F30CC">
        <w:rPr>
          <w:bCs/>
          <w:sz w:val="24"/>
          <w:szCs w:val="24"/>
        </w:rPr>
        <w:t xml:space="preserve"> осуществляется для того, чтобы:</w:t>
      </w:r>
      <w:r w:rsidRPr="002F30CC">
        <w:rPr>
          <w:rFonts w:asciiTheme="majorHAnsi" w:eastAsiaTheme="majorEastAsia" w:hAnsi="Arial" w:cstheme="majorBidi"/>
          <w:bCs/>
          <w:color w:val="000000" w:themeColor="text1"/>
          <w:sz w:val="24"/>
          <w:szCs w:val="24"/>
        </w:rPr>
        <w:t xml:space="preserve"> </w:t>
      </w:r>
    </w:p>
    <w:p w14:paraId="0A021957" w14:textId="77777777" w:rsidR="00864C74" w:rsidRPr="002F30CC" w:rsidRDefault="00864C74" w:rsidP="00827125">
      <w:pPr>
        <w:numPr>
          <w:ilvl w:val="0"/>
          <w:numId w:val="5"/>
        </w:numPr>
        <w:tabs>
          <w:tab w:val="clear" w:pos="720"/>
          <w:tab w:val="num" w:pos="360"/>
        </w:tabs>
        <w:spacing w:after="160" w:line="240" w:lineRule="auto"/>
        <w:ind w:left="0" w:firstLine="567"/>
        <w:rPr>
          <w:sz w:val="24"/>
          <w:szCs w:val="24"/>
        </w:rPr>
      </w:pPr>
      <w:r w:rsidRPr="002F30CC">
        <w:rPr>
          <w:sz w:val="24"/>
          <w:szCs w:val="24"/>
        </w:rPr>
        <w:t>выявить и оценить факторы, создающие возможности совершения коррупционных действий и (или) принятия коррупционных решений;</w:t>
      </w:r>
    </w:p>
    <w:p w14:paraId="0D92CA97" w14:textId="77777777" w:rsidR="00864C74" w:rsidRPr="002F30CC" w:rsidRDefault="00864C74" w:rsidP="00827125">
      <w:pPr>
        <w:numPr>
          <w:ilvl w:val="0"/>
          <w:numId w:val="5"/>
        </w:numPr>
        <w:tabs>
          <w:tab w:val="clear" w:pos="720"/>
          <w:tab w:val="num" w:pos="360"/>
        </w:tabs>
        <w:spacing w:after="160" w:line="240" w:lineRule="auto"/>
        <w:ind w:left="0" w:firstLine="567"/>
        <w:rPr>
          <w:sz w:val="24"/>
          <w:szCs w:val="24"/>
        </w:rPr>
      </w:pPr>
      <w:r w:rsidRPr="002F30CC">
        <w:rPr>
          <w:sz w:val="24"/>
          <w:szCs w:val="24"/>
        </w:rPr>
        <w:t>определить эффективность механизма действия внутреннего контроля по снижению или устранению коррупциогенных факторов;</w:t>
      </w:r>
    </w:p>
    <w:p w14:paraId="5372CE3C" w14:textId="77777777" w:rsidR="00864C74" w:rsidRPr="002F30CC" w:rsidRDefault="00864C74" w:rsidP="00827125">
      <w:pPr>
        <w:numPr>
          <w:ilvl w:val="0"/>
          <w:numId w:val="5"/>
        </w:numPr>
        <w:tabs>
          <w:tab w:val="clear" w:pos="720"/>
          <w:tab w:val="num" w:pos="360"/>
        </w:tabs>
        <w:spacing w:after="160" w:line="240" w:lineRule="auto"/>
        <w:ind w:left="0" w:firstLine="567"/>
        <w:rPr>
          <w:sz w:val="24"/>
          <w:szCs w:val="24"/>
        </w:rPr>
      </w:pPr>
      <w:r w:rsidRPr="002F30CC">
        <w:rPr>
          <w:sz w:val="24"/>
          <w:szCs w:val="24"/>
        </w:rPr>
        <w:t>выработать рекомендации по снижению или устранению коррупциогенных факторов;</w:t>
      </w:r>
    </w:p>
    <w:p w14:paraId="765EA34B" w14:textId="5B7905CD" w:rsidR="00864C74" w:rsidRPr="002F30CC" w:rsidRDefault="00864C74" w:rsidP="00827125">
      <w:pPr>
        <w:numPr>
          <w:ilvl w:val="0"/>
          <w:numId w:val="5"/>
        </w:numPr>
        <w:tabs>
          <w:tab w:val="clear" w:pos="720"/>
          <w:tab w:val="num" w:pos="360"/>
        </w:tabs>
        <w:spacing w:after="160" w:line="240" w:lineRule="auto"/>
        <w:ind w:left="0" w:firstLine="567"/>
        <w:rPr>
          <w:sz w:val="24"/>
          <w:szCs w:val="24"/>
        </w:rPr>
      </w:pPr>
      <w:r w:rsidRPr="002F30CC">
        <w:rPr>
          <w:sz w:val="24"/>
          <w:szCs w:val="24"/>
        </w:rPr>
        <w:t>предложить руководству объекта контроля утвердить перечень мероприятий, направленных на снижение или устранение коррупционных рисков и совершенствование управленческого процесса.</w:t>
      </w:r>
    </w:p>
    <w:p w14:paraId="5806BD75" w14:textId="38EE2CE8" w:rsidR="001E738A" w:rsidRPr="002F30CC" w:rsidRDefault="001E738A" w:rsidP="00827125">
      <w:pPr>
        <w:autoSpaceDE w:val="0"/>
        <w:autoSpaceDN w:val="0"/>
        <w:adjustRightInd w:val="0"/>
        <w:spacing w:line="240" w:lineRule="auto"/>
        <w:ind w:firstLine="567"/>
        <w:rPr>
          <w:sz w:val="24"/>
          <w:szCs w:val="24"/>
        </w:rPr>
      </w:pPr>
      <w:r w:rsidRPr="002F30CC">
        <w:rPr>
          <w:sz w:val="24"/>
          <w:szCs w:val="24"/>
        </w:rPr>
        <w:t>Остановлюсь на следующих примерах КОРРУПЦИОННЫХ РИСКОВ в действиях объект</w:t>
      </w:r>
      <w:r w:rsidR="00A21C79" w:rsidRPr="002F30CC">
        <w:rPr>
          <w:sz w:val="24"/>
          <w:szCs w:val="24"/>
        </w:rPr>
        <w:t xml:space="preserve">ов </w:t>
      </w:r>
      <w:r w:rsidRPr="002F30CC">
        <w:rPr>
          <w:sz w:val="24"/>
          <w:szCs w:val="24"/>
        </w:rPr>
        <w:t>контроля и должностных лиц объектов контроля:</w:t>
      </w:r>
    </w:p>
    <w:p w14:paraId="6DF1D784" w14:textId="77777777" w:rsidR="001E738A" w:rsidRPr="002F30CC" w:rsidRDefault="001E738A" w:rsidP="00827125">
      <w:pPr>
        <w:autoSpaceDE w:val="0"/>
        <w:autoSpaceDN w:val="0"/>
        <w:adjustRightInd w:val="0"/>
        <w:spacing w:line="240" w:lineRule="auto"/>
        <w:ind w:firstLine="567"/>
        <w:rPr>
          <w:sz w:val="24"/>
          <w:szCs w:val="24"/>
        </w:rPr>
      </w:pPr>
    </w:p>
    <w:p w14:paraId="1229B925" w14:textId="6E039BD0" w:rsidR="001E738A" w:rsidRPr="002F30CC" w:rsidRDefault="001E738A" w:rsidP="00827125">
      <w:pPr>
        <w:spacing w:line="240" w:lineRule="auto"/>
        <w:ind w:firstLine="567"/>
        <w:rPr>
          <w:bCs/>
          <w:sz w:val="24"/>
          <w:szCs w:val="24"/>
        </w:rPr>
      </w:pPr>
      <w:r w:rsidRPr="002F30CC">
        <w:rPr>
          <w:bCs/>
          <w:sz w:val="24"/>
          <w:szCs w:val="24"/>
        </w:rPr>
        <w:t xml:space="preserve">- отсутствие со стороны специально созданных комиссий </w:t>
      </w:r>
      <w:r w:rsidR="002D62D1" w:rsidRPr="002F30CC">
        <w:rPr>
          <w:bCs/>
          <w:sz w:val="24"/>
          <w:szCs w:val="24"/>
        </w:rPr>
        <w:t>д</w:t>
      </w:r>
      <w:r w:rsidRPr="002F30CC">
        <w:rPr>
          <w:bCs/>
          <w:sz w:val="24"/>
          <w:szCs w:val="24"/>
        </w:rPr>
        <w:t>остаточного контроля за принятием решений, а также за сотрудниками и результатами их работы, что подтве</w:t>
      </w:r>
      <w:r w:rsidR="00B46C20" w:rsidRPr="002F30CC">
        <w:rPr>
          <w:bCs/>
          <w:sz w:val="24"/>
          <w:szCs w:val="24"/>
        </w:rPr>
        <w:t>рждается принятием и оплатой не</w:t>
      </w:r>
      <w:r w:rsidRPr="002F30CC">
        <w:rPr>
          <w:bCs/>
          <w:sz w:val="24"/>
          <w:szCs w:val="24"/>
        </w:rPr>
        <w:t>выполненных работ, отсутствием должной проверки сведений и документов, нецелевым</w:t>
      </w:r>
      <w:r w:rsidR="00B46C20" w:rsidRPr="002F30CC">
        <w:rPr>
          <w:bCs/>
          <w:sz w:val="24"/>
          <w:szCs w:val="24"/>
        </w:rPr>
        <w:t xml:space="preserve"> </w:t>
      </w:r>
      <w:r w:rsidRPr="002F30CC">
        <w:rPr>
          <w:bCs/>
          <w:sz w:val="24"/>
          <w:szCs w:val="24"/>
        </w:rPr>
        <w:t>расходованием бюджетных средств и т.д.;</w:t>
      </w:r>
    </w:p>
    <w:p w14:paraId="1B42878A" w14:textId="77777777" w:rsidR="001E738A" w:rsidRPr="002F30CC" w:rsidRDefault="001E738A" w:rsidP="00827125">
      <w:pPr>
        <w:spacing w:line="240" w:lineRule="auto"/>
        <w:ind w:firstLine="567"/>
        <w:rPr>
          <w:bCs/>
          <w:sz w:val="24"/>
          <w:szCs w:val="24"/>
        </w:rPr>
      </w:pPr>
    </w:p>
    <w:p w14:paraId="65B06AA0" w14:textId="1760C441" w:rsidR="001E738A" w:rsidRPr="002F30CC" w:rsidRDefault="001E738A" w:rsidP="00827125">
      <w:pPr>
        <w:spacing w:line="240" w:lineRule="auto"/>
        <w:ind w:firstLine="567"/>
        <w:rPr>
          <w:sz w:val="24"/>
          <w:szCs w:val="24"/>
        </w:rPr>
      </w:pPr>
      <w:r w:rsidRPr="002F30CC">
        <w:rPr>
          <w:sz w:val="24"/>
          <w:szCs w:val="24"/>
        </w:rPr>
        <w:t xml:space="preserve">- критерии оценки качества труда работников, определенные положениями о распределении стимулирующего фонда учреждения, недостаточно детализированы, в связи с чем, отсутствует зависимость конкретного размера выплаты от уровня достигнутых результатов, измеряемого в количественном выражении. </w:t>
      </w:r>
      <w:r w:rsidRPr="002F30CC">
        <w:rPr>
          <w:color w:val="000000"/>
          <w:sz w:val="24"/>
          <w:szCs w:val="24"/>
        </w:rPr>
        <w:t xml:space="preserve">Зачастую НПА </w:t>
      </w:r>
      <w:r w:rsidRPr="002F30CC">
        <w:rPr>
          <w:sz w:val="24"/>
          <w:szCs w:val="24"/>
        </w:rPr>
        <w:t xml:space="preserve">о </w:t>
      </w:r>
      <w:r w:rsidRPr="002F30CC">
        <w:rPr>
          <w:color w:val="000000"/>
          <w:sz w:val="24"/>
          <w:szCs w:val="24"/>
        </w:rPr>
        <w:t xml:space="preserve">выплатах стимулирующего характера не содержат </w:t>
      </w:r>
      <w:r w:rsidRPr="002F30CC">
        <w:rPr>
          <w:sz w:val="24"/>
          <w:szCs w:val="24"/>
        </w:rPr>
        <w:t>показатели и критерии оценки эффективности деятельности работников. Иногда в НПА приводится перечень критериев оценки эффективности деятельности работников, но при этом не раскрываются способы оценки критериев для стимулирующих выплат.</w:t>
      </w:r>
    </w:p>
    <w:p w14:paraId="51E9EFA7" w14:textId="70D2B558" w:rsidR="001E738A" w:rsidRPr="002F30CC" w:rsidRDefault="001E738A" w:rsidP="00827125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8BE4D1F" w14:textId="77777777" w:rsidR="001E738A" w:rsidRPr="002F30CC" w:rsidRDefault="001E738A" w:rsidP="00827125">
      <w:pPr>
        <w:spacing w:line="240" w:lineRule="auto"/>
        <w:ind w:firstLine="567"/>
        <w:rPr>
          <w:bCs/>
          <w:sz w:val="24"/>
          <w:szCs w:val="24"/>
        </w:rPr>
      </w:pPr>
      <w:r w:rsidRPr="002F30CC">
        <w:rPr>
          <w:bCs/>
          <w:sz w:val="24"/>
          <w:szCs w:val="24"/>
        </w:rPr>
        <w:lastRenderedPageBreak/>
        <w:t xml:space="preserve">Наличие пробелов в утвержденных НПА </w:t>
      </w:r>
      <w:r w:rsidRPr="002F30CC">
        <w:rPr>
          <w:sz w:val="24"/>
          <w:szCs w:val="24"/>
        </w:rPr>
        <w:t xml:space="preserve">о </w:t>
      </w:r>
      <w:r w:rsidRPr="002F30CC">
        <w:rPr>
          <w:color w:val="000000"/>
          <w:sz w:val="24"/>
          <w:szCs w:val="24"/>
        </w:rPr>
        <w:t xml:space="preserve">выплатах стимулирующего характера </w:t>
      </w:r>
      <w:r w:rsidRPr="002F30CC">
        <w:rPr>
          <w:color w:val="000000"/>
          <w:sz w:val="24"/>
          <w:szCs w:val="24"/>
          <w:u w:val="single"/>
        </w:rPr>
        <w:t>могут</w:t>
      </w:r>
      <w:r w:rsidRPr="002F30CC">
        <w:rPr>
          <w:color w:val="000000"/>
          <w:sz w:val="24"/>
          <w:szCs w:val="24"/>
        </w:rPr>
        <w:t xml:space="preserve"> </w:t>
      </w:r>
      <w:r w:rsidRPr="002F30CC">
        <w:rPr>
          <w:bCs/>
          <w:sz w:val="24"/>
          <w:szCs w:val="24"/>
        </w:rPr>
        <w:t>свидетельствовать о коррупциогенном характере положений нормативных правовых актов, а именно:</w:t>
      </w:r>
    </w:p>
    <w:p w14:paraId="57A167B1" w14:textId="77777777" w:rsidR="001E738A" w:rsidRPr="002F30CC" w:rsidRDefault="001E738A" w:rsidP="00827125">
      <w:pPr>
        <w:spacing w:line="240" w:lineRule="auto"/>
        <w:ind w:firstLine="567"/>
        <w:rPr>
          <w:bCs/>
          <w:sz w:val="24"/>
          <w:szCs w:val="24"/>
        </w:rPr>
      </w:pPr>
    </w:p>
    <w:p w14:paraId="6613CB70" w14:textId="77777777" w:rsidR="001E738A" w:rsidRPr="002F30CC" w:rsidRDefault="001E738A" w:rsidP="00827125">
      <w:pPr>
        <w:numPr>
          <w:ilvl w:val="0"/>
          <w:numId w:val="6"/>
        </w:numPr>
        <w:tabs>
          <w:tab w:val="clear" w:pos="720"/>
          <w:tab w:val="num" w:pos="360"/>
        </w:tabs>
        <w:spacing w:after="160" w:line="240" w:lineRule="auto"/>
        <w:ind w:left="0" w:firstLine="567"/>
        <w:rPr>
          <w:sz w:val="24"/>
          <w:szCs w:val="24"/>
          <w:u w:val="single"/>
        </w:rPr>
      </w:pPr>
      <w:r w:rsidRPr="002F30CC">
        <w:rPr>
          <w:sz w:val="24"/>
          <w:szCs w:val="24"/>
          <w:u w:val="single"/>
        </w:rPr>
        <w:t>установление широких дискреционных полномочий должностных лиц, т.е. позволяющих принимать различные решения по усмотрению должностного лица («широта административного усмотрения»).</w:t>
      </w:r>
    </w:p>
    <w:p w14:paraId="2070753C" w14:textId="77777777" w:rsidR="001E738A" w:rsidRPr="002F30CC" w:rsidRDefault="001E738A" w:rsidP="00827125">
      <w:pPr>
        <w:tabs>
          <w:tab w:val="num" w:pos="360"/>
        </w:tabs>
        <w:spacing w:line="240" w:lineRule="auto"/>
        <w:ind w:firstLine="567"/>
        <w:rPr>
          <w:sz w:val="24"/>
          <w:szCs w:val="24"/>
          <w:u w:val="single"/>
        </w:rPr>
      </w:pPr>
      <w:r w:rsidRPr="002F30CC">
        <w:rPr>
          <w:sz w:val="24"/>
          <w:szCs w:val="24"/>
          <w:u w:val="single"/>
        </w:rPr>
        <w:t>В НПА могут содержаться положения:</w:t>
      </w:r>
    </w:p>
    <w:p w14:paraId="154E47B4" w14:textId="77777777" w:rsidR="001E738A" w:rsidRPr="002F30CC" w:rsidRDefault="001E738A" w:rsidP="00827125">
      <w:pPr>
        <w:tabs>
          <w:tab w:val="num" w:pos="360"/>
        </w:tabs>
        <w:spacing w:line="240" w:lineRule="auto"/>
        <w:ind w:firstLine="567"/>
        <w:rPr>
          <w:sz w:val="24"/>
          <w:szCs w:val="24"/>
        </w:rPr>
      </w:pPr>
      <w:r w:rsidRPr="002F30CC">
        <w:rPr>
          <w:sz w:val="24"/>
          <w:szCs w:val="24"/>
        </w:rPr>
        <w:t>- представляющие несколько вариантов решения по выбору должностного лица без точного определения условий для принятия того или иного решения;</w:t>
      </w:r>
    </w:p>
    <w:p w14:paraId="7721941C" w14:textId="77777777" w:rsidR="001E738A" w:rsidRPr="002F30CC" w:rsidRDefault="001E738A" w:rsidP="00827125">
      <w:pPr>
        <w:tabs>
          <w:tab w:val="num" w:pos="360"/>
        </w:tabs>
        <w:spacing w:line="240" w:lineRule="auto"/>
        <w:ind w:firstLine="567"/>
        <w:rPr>
          <w:sz w:val="24"/>
          <w:szCs w:val="24"/>
        </w:rPr>
      </w:pPr>
      <w:r w:rsidRPr="002F30CC">
        <w:rPr>
          <w:sz w:val="24"/>
          <w:szCs w:val="24"/>
        </w:rPr>
        <w:t>- содержащие открытый перечень оснований для принятия того или иного решения или открытый перечень документов, необходимых для принятия решения (формулировки «иные необходимые документы», «иные сведения», «в иных случаях»);</w:t>
      </w:r>
    </w:p>
    <w:p w14:paraId="5E3C0090" w14:textId="77777777" w:rsidR="001E738A" w:rsidRPr="002F30CC" w:rsidRDefault="001E738A" w:rsidP="00827125">
      <w:pPr>
        <w:tabs>
          <w:tab w:val="num" w:pos="360"/>
        </w:tabs>
        <w:spacing w:line="240" w:lineRule="auto"/>
        <w:ind w:firstLine="567"/>
        <w:rPr>
          <w:sz w:val="24"/>
          <w:szCs w:val="24"/>
        </w:rPr>
      </w:pPr>
      <w:r w:rsidRPr="002F30CC">
        <w:rPr>
          <w:sz w:val="24"/>
          <w:szCs w:val="24"/>
        </w:rPr>
        <w:t>- содержащие субъективно-оценочные основания для принятия положительного или отрицательного решения по соответствующему вопросу (например, «сведения не соответствуют действительности», «представлены не в полном объеме», «при острой потребности», «в случаях, не терпящих отлагательств», «допускается в исключительных случаях»);</w:t>
      </w:r>
    </w:p>
    <w:p w14:paraId="3EEE8109" w14:textId="77777777" w:rsidR="001E738A" w:rsidRPr="002F30CC" w:rsidRDefault="001E738A" w:rsidP="00827125">
      <w:pPr>
        <w:tabs>
          <w:tab w:val="num" w:pos="360"/>
        </w:tabs>
        <w:spacing w:line="240" w:lineRule="auto"/>
        <w:ind w:firstLine="567"/>
        <w:rPr>
          <w:sz w:val="24"/>
          <w:szCs w:val="24"/>
        </w:rPr>
      </w:pPr>
    </w:p>
    <w:p w14:paraId="5ED8FF40" w14:textId="77777777" w:rsidR="001E738A" w:rsidRPr="002F30CC" w:rsidRDefault="001E738A" w:rsidP="00827125">
      <w:pPr>
        <w:numPr>
          <w:ilvl w:val="0"/>
          <w:numId w:val="6"/>
        </w:numPr>
        <w:tabs>
          <w:tab w:val="clear" w:pos="720"/>
          <w:tab w:val="num" w:pos="360"/>
        </w:tabs>
        <w:spacing w:after="160" w:line="240" w:lineRule="auto"/>
        <w:ind w:left="0" w:firstLine="567"/>
        <w:rPr>
          <w:sz w:val="24"/>
          <w:szCs w:val="24"/>
          <w:u w:val="single"/>
        </w:rPr>
      </w:pPr>
      <w:r w:rsidRPr="002F30CC">
        <w:rPr>
          <w:sz w:val="24"/>
          <w:szCs w:val="24"/>
          <w:u w:val="single"/>
        </w:rPr>
        <w:t>наличие в нормативном правовом акте положений, допускающих двойное толкование.</w:t>
      </w:r>
    </w:p>
    <w:p w14:paraId="45C510F1" w14:textId="0962ACF7" w:rsidR="001E738A" w:rsidRPr="002F30CC" w:rsidRDefault="001E738A" w:rsidP="00827125">
      <w:pPr>
        <w:tabs>
          <w:tab w:val="num" w:pos="360"/>
        </w:tabs>
        <w:spacing w:line="240" w:lineRule="auto"/>
        <w:ind w:firstLine="567"/>
        <w:rPr>
          <w:sz w:val="24"/>
          <w:szCs w:val="24"/>
        </w:rPr>
      </w:pPr>
      <w:r w:rsidRPr="002F30CC">
        <w:rPr>
          <w:sz w:val="24"/>
          <w:szCs w:val="24"/>
        </w:rPr>
        <w:t>В НПА могут использоваться двусмысленные термины, понятия и формулировки, категории оценочного характера с неясным, неопределенным содержанием, что повышает вероятность произвольного применения нормы;</w:t>
      </w:r>
    </w:p>
    <w:p w14:paraId="3427CD76" w14:textId="7813C13C" w:rsidR="001E738A" w:rsidRPr="002F30CC" w:rsidRDefault="001E738A" w:rsidP="00827125">
      <w:pPr>
        <w:numPr>
          <w:ilvl w:val="0"/>
          <w:numId w:val="6"/>
        </w:numPr>
        <w:tabs>
          <w:tab w:val="clear" w:pos="720"/>
          <w:tab w:val="num" w:pos="360"/>
        </w:tabs>
        <w:spacing w:after="160" w:line="240" w:lineRule="auto"/>
        <w:ind w:left="0" w:firstLine="567"/>
        <w:rPr>
          <w:sz w:val="24"/>
          <w:szCs w:val="24"/>
        </w:rPr>
      </w:pPr>
      <w:r w:rsidRPr="002F30CC">
        <w:rPr>
          <w:sz w:val="24"/>
          <w:szCs w:val="24"/>
        </w:rPr>
        <w:t xml:space="preserve">наличие в нормативном правовом акте отсылочных норм, предполагающих регулирование освещаемых вопросов другими правовыми актами. </w:t>
      </w:r>
    </w:p>
    <w:p w14:paraId="0EA164A6" w14:textId="685D1F4E" w:rsidR="00827125" w:rsidRPr="002F30CC" w:rsidRDefault="00827125" w:rsidP="00827125">
      <w:pPr>
        <w:spacing w:line="240" w:lineRule="auto"/>
        <w:ind w:firstLine="567"/>
        <w:rPr>
          <w:b/>
          <w:bCs/>
          <w:sz w:val="24"/>
          <w:szCs w:val="24"/>
          <w:u w:val="single"/>
        </w:rPr>
      </w:pPr>
      <w:r w:rsidRPr="002F30CC">
        <w:rPr>
          <w:bCs/>
          <w:sz w:val="24"/>
          <w:szCs w:val="24"/>
        </w:rPr>
        <w:t xml:space="preserve">Отсутствие в регламентах описанных процедур выполнения обязанностей должностными лицами организации четко прописанного процесса принятия решения </w:t>
      </w:r>
      <w:r w:rsidRPr="002F30CC">
        <w:rPr>
          <w:b/>
          <w:bCs/>
          <w:sz w:val="24"/>
          <w:szCs w:val="24"/>
          <w:u w:val="single"/>
        </w:rPr>
        <w:t>служит причиной выборочного изменения объема прав в денежном выражении.</w:t>
      </w:r>
    </w:p>
    <w:p w14:paraId="28E9063F" w14:textId="77777777" w:rsidR="00827125" w:rsidRPr="002F30CC" w:rsidRDefault="00827125" w:rsidP="00827125">
      <w:pPr>
        <w:spacing w:after="160" w:line="240" w:lineRule="auto"/>
        <w:ind w:firstLine="567"/>
        <w:rPr>
          <w:sz w:val="24"/>
          <w:szCs w:val="24"/>
        </w:rPr>
      </w:pPr>
    </w:p>
    <w:p w14:paraId="620780E4" w14:textId="7655BABE" w:rsidR="00D427FA" w:rsidRPr="002F30CC" w:rsidRDefault="00864C74" w:rsidP="00827125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F30CC">
        <w:rPr>
          <w:rFonts w:ascii="Times New Roman" w:hAnsi="Times New Roman"/>
          <w:sz w:val="24"/>
          <w:szCs w:val="24"/>
        </w:rPr>
        <w:t xml:space="preserve">Понятие </w:t>
      </w:r>
      <w:r w:rsidR="00D427FA" w:rsidRPr="002F30CC">
        <w:rPr>
          <w:rFonts w:ascii="Times New Roman" w:hAnsi="Times New Roman"/>
          <w:sz w:val="24"/>
          <w:szCs w:val="24"/>
        </w:rPr>
        <w:t>ущерб</w:t>
      </w:r>
      <w:r w:rsidRPr="002F30CC">
        <w:rPr>
          <w:rFonts w:ascii="Times New Roman" w:hAnsi="Times New Roman"/>
          <w:sz w:val="24"/>
          <w:szCs w:val="24"/>
        </w:rPr>
        <w:t>а</w:t>
      </w:r>
      <w:r w:rsidR="00D427FA" w:rsidRPr="002F30CC">
        <w:rPr>
          <w:rFonts w:ascii="Times New Roman" w:hAnsi="Times New Roman"/>
          <w:sz w:val="24"/>
          <w:szCs w:val="24"/>
        </w:rPr>
        <w:t xml:space="preserve"> </w:t>
      </w:r>
      <w:r w:rsidR="00EC564D" w:rsidRPr="002F30CC">
        <w:rPr>
          <w:rFonts w:ascii="Times New Roman" w:hAnsi="Times New Roman"/>
          <w:sz w:val="24"/>
          <w:szCs w:val="24"/>
        </w:rPr>
        <w:t xml:space="preserve">муниципальному образованию по аналогии с понятием «ущерб государству» </w:t>
      </w:r>
      <w:r w:rsidR="00D427FA" w:rsidRPr="002F30CC">
        <w:rPr>
          <w:rFonts w:ascii="Times New Roman" w:hAnsi="Times New Roman"/>
          <w:sz w:val="24"/>
          <w:szCs w:val="24"/>
        </w:rPr>
        <w:t xml:space="preserve">– </w:t>
      </w:r>
      <w:r w:rsidR="00EC564D" w:rsidRPr="002F30CC">
        <w:rPr>
          <w:rFonts w:ascii="Times New Roman" w:hAnsi="Times New Roman"/>
          <w:sz w:val="24"/>
          <w:szCs w:val="24"/>
        </w:rPr>
        <w:t xml:space="preserve">это </w:t>
      </w:r>
      <w:r w:rsidR="00D427FA" w:rsidRPr="002F30CC">
        <w:rPr>
          <w:rFonts w:ascii="Times New Roman" w:hAnsi="Times New Roman"/>
          <w:sz w:val="24"/>
          <w:szCs w:val="24"/>
        </w:rPr>
        <w:t>расходы бюджета, которые произве</w:t>
      </w:r>
      <w:r w:rsidR="00EC564D" w:rsidRPr="002F30CC">
        <w:rPr>
          <w:rFonts w:ascii="Times New Roman" w:hAnsi="Times New Roman"/>
          <w:sz w:val="24"/>
          <w:szCs w:val="24"/>
        </w:rPr>
        <w:t>дены</w:t>
      </w:r>
      <w:r w:rsidR="00D427FA" w:rsidRPr="002F30CC">
        <w:rPr>
          <w:rFonts w:ascii="Times New Roman" w:hAnsi="Times New Roman"/>
          <w:sz w:val="24"/>
          <w:szCs w:val="24"/>
        </w:rPr>
        <w:t xml:space="preserve"> или должн</w:t>
      </w:r>
      <w:r w:rsidR="00EC564D" w:rsidRPr="002F30CC">
        <w:rPr>
          <w:rFonts w:ascii="Times New Roman" w:hAnsi="Times New Roman"/>
          <w:sz w:val="24"/>
          <w:szCs w:val="24"/>
        </w:rPr>
        <w:t>ы</w:t>
      </w:r>
      <w:r w:rsidR="00D427FA" w:rsidRPr="002F30CC">
        <w:rPr>
          <w:rFonts w:ascii="Times New Roman" w:hAnsi="Times New Roman"/>
          <w:sz w:val="24"/>
          <w:szCs w:val="24"/>
        </w:rPr>
        <w:t xml:space="preserve"> </w:t>
      </w:r>
      <w:r w:rsidR="00EC564D" w:rsidRPr="002F30CC">
        <w:rPr>
          <w:rFonts w:ascii="Times New Roman" w:hAnsi="Times New Roman"/>
          <w:sz w:val="24"/>
          <w:szCs w:val="24"/>
        </w:rPr>
        <w:t xml:space="preserve">быть </w:t>
      </w:r>
      <w:r w:rsidR="00D427FA" w:rsidRPr="002F30CC">
        <w:rPr>
          <w:rFonts w:ascii="Times New Roman" w:hAnsi="Times New Roman"/>
          <w:sz w:val="24"/>
          <w:szCs w:val="24"/>
        </w:rPr>
        <w:t>произве</w:t>
      </w:r>
      <w:r w:rsidR="00EC564D" w:rsidRPr="002F30CC">
        <w:rPr>
          <w:rFonts w:ascii="Times New Roman" w:hAnsi="Times New Roman"/>
          <w:sz w:val="24"/>
          <w:szCs w:val="24"/>
        </w:rPr>
        <w:t>дены</w:t>
      </w:r>
      <w:r w:rsidR="00D427FA" w:rsidRPr="002F30CC">
        <w:rPr>
          <w:rFonts w:ascii="Times New Roman" w:hAnsi="Times New Roman"/>
          <w:sz w:val="24"/>
          <w:szCs w:val="24"/>
        </w:rPr>
        <w:t xml:space="preserve"> для восстановления утраченного (поврежденного) имущества или прав на него вследствие неправомерных действий (бездействия) объекта контрольного мероприятия, упущенная выгода, возникшая вследствие недополучения в полном объеме дохода от реализации или использования имущества либо отсутствия предусмотренных законодательством Российской Федерации сделок, своевременное заключение которых могло принести доход.</w:t>
      </w:r>
      <w:r w:rsidR="00D427FA" w:rsidRPr="002F30C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54E886D7" w14:textId="77777777" w:rsidR="00D427FA" w:rsidRPr="002F30CC" w:rsidRDefault="00D427FA" w:rsidP="00827125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</w:p>
    <w:p w14:paraId="1F8B56D2" w14:textId="1705E9BE" w:rsidR="00A94621" w:rsidRPr="002F30CC" w:rsidRDefault="00D427FA" w:rsidP="00E65DFA">
      <w:pPr>
        <w:spacing w:line="240" w:lineRule="auto"/>
        <w:rPr>
          <w:sz w:val="24"/>
          <w:szCs w:val="24"/>
        </w:rPr>
      </w:pPr>
      <w:r w:rsidRPr="002F30CC">
        <w:rPr>
          <w:sz w:val="24"/>
          <w:szCs w:val="24"/>
          <w:u w:val="single"/>
        </w:rPr>
        <w:t>Ущерб</w:t>
      </w:r>
      <w:r w:rsidR="00827658" w:rsidRPr="002F30CC">
        <w:rPr>
          <w:sz w:val="24"/>
          <w:szCs w:val="24"/>
          <w:u w:val="single"/>
        </w:rPr>
        <w:t xml:space="preserve"> муниципальному образованию</w:t>
      </w:r>
      <w:r w:rsidRPr="002F30CC">
        <w:rPr>
          <w:sz w:val="24"/>
          <w:szCs w:val="24"/>
        </w:rPr>
        <w:t xml:space="preserve"> в основных показателях подразделяется на: </w:t>
      </w:r>
    </w:p>
    <w:p w14:paraId="5211AE11" w14:textId="5AF10864" w:rsidR="00A94621" w:rsidRPr="002F30CC" w:rsidRDefault="00A94621" w:rsidP="00E65DFA">
      <w:pPr>
        <w:spacing w:line="240" w:lineRule="auto"/>
        <w:rPr>
          <w:sz w:val="24"/>
          <w:szCs w:val="24"/>
        </w:rPr>
      </w:pPr>
      <w:r w:rsidRPr="002F30CC">
        <w:rPr>
          <w:sz w:val="24"/>
          <w:szCs w:val="24"/>
        </w:rPr>
        <w:t xml:space="preserve">- </w:t>
      </w:r>
      <w:r w:rsidR="00D427FA" w:rsidRPr="002F30CC">
        <w:rPr>
          <w:sz w:val="24"/>
          <w:szCs w:val="24"/>
        </w:rPr>
        <w:t xml:space="preserve">недопоступление бюджетных средств, администрируемых органами </w:t>
      </w:r>
      <w:r w:rsidR="00091A4A" w:rsidRPr="002F30CC">
        <w:rPr>
          <w:sz w:val="24"/>
          <w:szCs w:val="24"/>
        </w:rPr>
        <w:t xml:space="preserve">местного </w:t>
      </w:r>
      <w:r w:rsidR="00D427FA" w:rsidRPr="002F30CC">
        <w:rPr>
          <w:sz w:val="24"/>
          <w:szCs w:val="24"/>
        </w:rPr>
        <w:t xml:space="preserve">самоуправления; </w:t>
      </w:r>
    </w:p>
    <w:p w14:paraId="4B961ACB" w14:textId="77777777" w:rsidR="00A94621" w:rsidRPr="002F30CC" w:rsidRDefault="00A94621" w:rsidP="00E65DFA">
      <w:pPr>
        <w:spacing w:line="240" w:lineRule="auto"/>
        <w:rPr>
          <w:sz w:val="24"/>
          <w:szCs w:val="24"/>
        </w:rPr>
      </w:pPr>
      <w:r w:rsidRPr="002F30CC">
        <w:rPr>
          <w:sz w:val="24"/>
          <w:szCs w:val="24"/>
        </w:rPr>
        <w:t xml:space="preserve">- </w:t>
      </w:r>
      <w:r w:rsidR="00D427FA" w:rsidRPr="002F30CC">
        <w:rPr>
          <w:sz w:val="24"/>
          <w:szCs w:val="24"/>
          <w:u w:val="single"/>
        </w:rPr>
        <w:t>избыточные затраты бюджетных средств</w:t>
      </w:r>
      <w:r w:rsidR="00D427FA" w:rsidRPr="002F30CC">
        <w:rPr>
          <w:sz w:val="24"/>
          <w:szCs w:val="24"/>
        </w:rPr>
        <w:t xml:space="preserve">; </w:t>
      </w:r>
    </w:p>
    <w:p w14:paraId="5744F7C3" w14:textId="70406205" w:rsidR="00A94621" w:rsidRPr="002F30CC" w:rsidRDefault="00A94621" w:rsidP="00E65DFA">
      <w:pPr>
        <w:spacing w:line="240" w:lineRule="auto"/>
        <w:rPr>
          <w:sz w:val="24"/>
          <w:szCs w:val="24"/>
          <w:u w:val="single"/>
        </w:rPr>
      </w:pPr>
      <w:r w:rsidRPr="002F30CC">
        <w:rPr>
          <w:sz w:val="24"/>
          <w:szCs w:val="24"/>
        </w:rPr>
        <w:t xml:space="preserve">- </w:t>
      </w:r>
      <w:r w:rsidR="00D427FA" w:rsidRPr="002F30CC">
        <w:rPr>
          <w:sz w:val="24"/>
          <w:szCs w:val="24"/>
          <w:u w:val="single"/>
        </w:rPr>
        <w:t>безрезультатные расходы бюджетных средств;</w:t>
      </w:r>
    </w:p>
    <w:p w14:paraId="7789C20A" w14:textId="0BE1CB49" w:rsidR="00D427FA" w:rsidRPr="002F30CC" w:rsidRDefault="00A94621" w:rsidP="00E65DFA">
      <w:pPr>
        <w:spacing w:line="240" w:lineRule="auto"/>
        <w:rPr>
          <w:sz w:val="24"/>
          <w:szCs w:val="24"/>
        </w:rPr>
      </w:pPr>
      <w:r w:rsidRPr="002F30CC">
        <w:rPr>
          <w:sz w:val="24"/>
          <w:szCs w:val="24"/>
        </w:rPr>
        <w:t>-</w:t>
      </w:r>
      <w:r w:rsidR="00D427FA" w:rsidRPr="002F30CC">
        <w:rPr>
          <w:sz w:val="24"/>
          <w:szCs w:val="24"/>
        </w:rPr>
        <w:t xml:space="preserve"> утрата бюджетных средств. </w:t>
      </w:r>
    </w:p>
    <w:p w14:paraId="1915C787" w14:textId="00BE77F0" w:rsidR="00A94621" w:rsidRPr="002F30CC" w:rsidRDefault="00C72EE8" w:rsidP="00827125">
      <w:pPr>
        <w:tabs>
          <w:tab w:val="left" w:pos="1134"/>
        </w:tabs>
        <w:spacing w:before="150" w:after="100" w:afterAutospacing="1" w:line="240" w:lineRule="auto"/>
        <w:ind w:firstLine="567"/>
        <w:contextualSpacing/>
        <w:rPr>
          <w:bCs/>
          <w:iCs/>
          <w:sz w:val="24"/>
          <w:szCs w:val="24"/>
        </w:rPr>
      </w:pPr>
      <w:r w:rsidRPr="002F30CC">
        <w:rPr>
          <w:bCs/>
          <w:iCs/>
          <w:sz w:val="24"/>
          <w:szCs w:val="24"/>
        </w:rPr>
        <w:t>П</w:t>
      </w:r>
      <w:r w:rsidR="00A94621" w:rsidRPr="002F30CC">
        <w:rPr>
          <w:bCs/>
          <w:iCs/>
          <w:sz w:val="24"/>
          <w:szCs w:val="24"/>
        </w:rPr>
        <w:t>ровер</w:t>
      </w:r>
      <w:r w:rsidR="00864C74" w:rsidRPr="002F30CC">
        <w:rPr>
          <w:bCs/>
          <w:iCs/>
          <w:sz w:val="24"/>
          <w:szCs w:val="24"/>
        </w:rPr>
        <w:t>ки, проводимые органами внешнего муниципального финансового контроля,</w:t>
      </w:r>
      <w:r w:rsidR="00A94621" w:rsidRPr="002F30CC">
        <w:rPr>
          <w:bCs/>
          <w:iCs/>
          <w:sz w:val="24"/>
          <w:szCs w:val="24"/>
        </w:rPr>
        <w:t xml:space="preserve"> отражают нарушения по ущербу</w:t>
      </w:r>
      <w:r w:rsidR="00864C74" w:rsidRPr="002F30CC">
        <w:rPr>
          <w:bCs/>
          <w:iCs/>
          <w:sz w:val="24"/>
          <w:szCs w:val="24"/>
        </w:rPr>
        <w:t xml:space="preserve"> бюджету муниципально</w:t>
      </w:r>
      <w:r w:rsidR="001C17C8" w:rsidRPr="002F30CC">
        <w:rPr>
          <w:bCs/>
          <w:iCs/>
          <w:sz w:val="24"/>
          <w:szCs w:val="24"/>
        </w:rPr>
        <w:t>го</w:t>
      </w:r>
      <w:r w:rsidR="00864C74" w:rsidRPr="002F30CC">
        <w:rPr>
          <w:bCs/>
          <w:iCs/>
          <w:sz w:val="24"/>
          <w:szCs w:val="24"/>
        </w:rPr>
        <w:t xml:space="preserve"> образовани</w:t>
      </w:r>
      <w:r w:rsidR="001C17C8" w:rsidRPr="002F30CC">
        <w:rPr>
          <w:bCs/>
          <w:iCs/>
          <w:sz w:val="24"/>
          <w:szCs w:val="24"/>
        </w:rPr>
        <w:t>я</w:t>
      </w:r>
      <w:r w:rsidR="00A94621" w:rsidRPr="002F30CC">
        <w:rPr>
          <w:bCs/>
          <w:iCs/>
          <w:sz w:val="24"/>
          <w:szCs w:val="24"/>
        </w:rPr>
        <w:t>, возникающему по двум основаниям</w:t>
      </w:r>
      <w:r w:rsidR="00864C74" w:rsidRPr="002F30CC">
        <w:rPr>
          <w:bCs/>
          <w:iCs/>
          <w:sz w:val="24"/>
          <w:szCs w:val="24"/>
        </w:rPr>
        <w:t>, связанным напрямую с коррупционными рисками, а возможно и с коррупциогенными факторами</w:t>
      </w:r>
      <w:r w:rsidR="00A94621" w:rsidRPr="002F30CC">
        <w:rPr>
          <w:bCs/>
          <w:iCs/>
          <w:sz w:val="24"/>
          <w:szCs w:val="24"/>
        </w:rPr>
        <w:t>:</w:t>
      </w:r>
    </w:p>
    <w:p w14:paraId="23CC9BA8" w14:textId="77777777" w:rsidR="00A94621" w:rsidRPr="002F30CC" w:rsidRDefault="00A94621" w:rsidP="00827125">
      <w:pPr>
        <w:tabs>
          <w:tab w:val="left" w:pos="1134"/>
        </w:tabs>
        <w:spacing w:before="150" w:after="100" w:afterAutospacing="1" w:line="240" w:lineRule="auto"/>
        <w:ind w:firstLine="567"/>
        <w:contextualSpacing/>
        <w:rPr>
          <w:sz w:val="24"/>
          <w:szCs w:val="24"/>
        </w:rPr>
      </w:pPr>
      <w:r w:rsidRPr="002F30CC">
        <w:rPr>
          <w:sz w:val="24"/>
          <w:szCs w:val="24"/>
        </w:rPr>
        <w:t xml:space="preserve">- </w:t>
      </w:r>
      <w:r w:rsidRPr="002F30CC">
        <w:rPr>
          <w:sz w:val="24"/>
          <w:szCs w:val="24"/>
          <w:u w:val="single"/>
        </w:rPr>
        <w:t>избыточные затраты бюджетных средств</w:t>
      </w:r>
      <w:r w:rsidRPr="002F30CC">
        <w:rPr>
          <w:sz w:val="24"/>
          <w:szCs w:val="24"/>
        </w:rPr>
        <w:t xml:space="preserve">; </w:t>
      </w:r>
    </w:p>
    <w:p w14:paraId="270F335C" w14:textId="65F648B6" w:rsidR="00A94621" w:rsidRPr="002F30CC" w:rsidRDefault="00A94621" w:rsidP="00827125">
      <w:pPr>
        <w:tabs>
          <w:tab w:val="left" w:pos="1134"/>
        </w:tabs>
        <w:spacing w:before="150" w:after="100" w:afterAutospacing="1" w:line="240" w:lineRule="auto"/>
        <w:ind w:firstLine="567"/>
        <w:contextualSpacing/>
        <w:rPr>
          <w:sz w:val="24"/>
          <w:szCs w:val="24"/>
          <w:u w:val="single"/>
        </w:rPr>
      </w:pPr>
      <w:r w:rsidRPr="002F30CC">
        <w:rPr>
          <w:sz w:val="24"/>
          <w:szCs w:val="24"/>
        </w:rPr>
        <w:t xml:space="preserve">- </w:t>
      </w:r>
      <w:r w:rsidRPr="002F30CC">
        <w:rPr>
          <w:sz w:val="24"/>
          <w:szCs w:val="24"/>
          <w:u w:val="single"/>
        </w:rPr>
        <w:t>безрезультатные расходы бюджетных средств.</w:t>
      </w:r>
    </w:p>
    <w:p w14:paraId="49736537" w14:textId="797B9AFA" w:rsidR="00A94621" w:rsidRPr="002F30CC" w:rsidRDefault="00A94621" w:rsidP="00827125">
      <w:pPr>
        <w:tabs>
          <w:tab w:val="left" w:pos="1134"/>
        </w:tabs>
        <w:spacing w:before="150" w:after="100" w:afterAutospacing="1" w:line="240" w:lineRule="auto"/>
        <w:ind w:firstLine="567"/>
        <w:contextualSpacing/>
        <w:rPr>
          <w:bCs/>
          <w:iCs/>
          <w:sz w:val="24"/>
          <w:szCs w:val="24"/>
        </w:rPr>
      </w:pPr>
    </w:p>
    <w:p w14:paraId="23046AFA" w14:textId="588DD012" w:rsidR="00EC564D" w:rsidRPr="002F30CC" w:rsidRDefault="00EC564D" w:rsidP="00827125">
      <w:pPr>
        <w:tabs>
          <w:tab w:val="left" w:pos="1134"/>
        </w:tabs>
        <w:spacing w:before="150" w:after="100" w:afterAutospacing="1" w:line="240" w:lineRule="auto"/>
        <w:ind w:firstLine="567"/>
        <w:contextualSpacing/>
        <w:rPr>
          <w:bCs/>
          <w:iCs/>
          <w:sz w:val="24"/>
          <w:szCs w:val="24"/>
        </w:rPr>
      </w:pPr>
      <w:r w:rsidRPr="002F30CC">
        <w:rPr>
          <w:bCs/>
          <w:iCs/>
          <w:sz w:val="24"/>
          <w:szCs w:val="24"/>
        </w:rPr>
        <w:lastRenderedPageBreak/>
        <w:t xml:space="preserve">Коррупционные риски в действиях должностных лиц объектов контроля, которые впоследствии могут привести </w:t>
      </w:r>
      <w:r w:rsidR="00203093" w:rsidRPr="002F30CC">
        <w:rPr>
          <w:bCs/>
          <w:iCs/>
          <w:sz w:val="24"/>
          <w:szCs w:val="24"/>
        </w:rPr>
        <w:t>к нарушениям коррупционной направленности:</w:t>
      </w:r>
    </w:p>
    <w:p w14:paraId="5374393A" w14:textId="77777777" w:rsidR="00B66A90" w:rsidRPr="002F30CC" w:rsidRDefault="00B66A90" w:rsidP="00827125">
      <w:pPr>
        <w:tabs>
          <w:tab w:val="left" w:pos="1134"/>
        </w:tabs>
        <w:spacing w:before="150" w:after="100" w:afterAutospacing="1" w:line="240" w:lineRule="auto"/>
        <w:ind w:firstLine="567"/>
        <w:contextualSpacing/>
        <w:rPr>
          <w:bCs/>
          <w:iCs/>
          <w:sz w:val="24"/>
          <w:szCs w:val="24"/>
        </w:rPr>
      </w:pPr>
    </w:p>
    <w:p w14:paraId="68C8E547" w14:textId="1BA9CE64" w:rsidR="00203093" w:rsidRPr="002F30CC" w:rsidRDefault="00203093" w:rsidP="00827125">
      <w:pPr>
        <w:tabs>
          <w:tab w:val="left" w:pos="1134"/>
        </w:tabs>
        <w:spacing w:before="150" w:after="100" w:afterAutospacing="1" w:line="240" w:lineRule="auto"/>
        <w:ind w:firstLine="567"/>
        <w:contextualSpacing/>
        <w:rPr>
          <w:bCs/>
          <w:iCs/>
          <w:sz w:val="24"/>
          <w:szCs w:val="24"/>
        </w:rPr>
      </w:pPr>
      <w:r w:rsidRPr="002F30CC">
        <w:rPr>
          <w:bCs/>
          <w:iCs/>
          <w:sz w:val="24"/>
          <w:szCs w:val="24"/>
        </w:rPr>
        <w:t>- издание и утверждение НПА органа местного самоуправления, содержащи</w:t>
      </w:r>
      <w:r w:rsidR="00B32D2C" w:rsidRPr="002F30CC">
        <w:rPr>
          <w:bCs/>
          <w:iCs/>
          <w:sz w:val="24"/>
          <w:szCs w:val="24"/>
        </w:rPr>
        <w:t>х</w:t>
      </w:r>
      <w:r w:rsidRPr="002F30CC">
        <w:rPr>
          <w:bCs/>
          <w:iCs/>
          <w:sz w:val="24"/>
          <w:szCs w:val="24"/>
        </w:rPr>
        <w:t xml:space="preserve"> существенные нарушения</w:t>
      </w:r>
      <w:r w:rsidR="00B27BC3" w:rsidRPr="002F30CC">
        <w:rPr>
          <w:bCs/>
          <w:iCs/>
          <w:sz w:val="24"/>
          <w:szCs w:val="24"/>
        </w:rPr>
        <w:t xml:space="preserve"> норм действующего законодательства</w:t>
      </w:r>
      <w:r w:rsidR="00AE0DE0" w:rsidRPr="002F30CC">
        <w:rPr>
          <w:bCs/>
          <w:iCs/>
          <w:sz w:val="24"/>
          <w:szCs w:val="24"/>
        </w:rPr>
        <w:t xml:space="preserve">; </w:t>
      </w:r>
    </w:p>
    <w:p w14:paraId="7E36B1F0" w14:textId="77777777" w:rsidR="00B66A90" w:rsidRPr="002F30CC" w:rsidRDefault="00B66A90" w:rsidP="00827125">
      <w:pPr>
        <w:tabs>
          <w:tab w:val="left" w:pos="1134"/>
        </w:tabs>
        <w:spacing w:before="150" w:after="100" w:afterAutospacing="1" w:line="240" w:lineRule="auto"/>
        <w:ind w:firstLine="567"/>
        <w:contextualSpacing/>
        <w:rPr>
          <w:bCs/>
          <w:iCs/>
          <w:sz w:val="24"/>
          <w:szCs w:val="24"/>
        </w:rPr>
      </w:pPr>
    </w:p>
    <w:p w14:paraId="44281457" w14:textId="13552F90" w:rsidR="00823B4B" w:rsidRPr="002F30CC" w:rsidRDefault="00AE0DE0" w:rsidP="00827125">
      <w:pPr>
        <w:tabs>
          <w:tab w:val="left" w:pos="1134"/>
        </w:tabs>
        <w:spacing w:before="150" w:after="100" w:afterAutospacing="1" w:line="240" w:lineRule="auto"/>
        <w:ind w:firstLine="567"/>
        <w:contextualSpacing/>
        <w:rPr>
          <w:bCs/>
          <w:iCs/>
          <w:sz w:val="24"/>
          <w:szCs w:val="24"/>
        </w:rPr>
      </w:pPr>
      <w:r w:rsidRPr="002F30CC">
        <w:rPr>
          <w:bCs/>
          <w:iCs/>
          <w:sz w:val="24"/>
          <w:szCs w:val="24"/>
        </w:rPr>
        <w:t>- н</w:t>
      </w:r>
      <w:r w:rsidR="00823B4B" w:rsidRPr="002F30CC">
        <w:rPr>
          <w:bCs/>
          <w:iCs/>
          <w:sz w:val="24"/>
          <w:szCs w:val="24"/>
        </w:rPr>
        <w:t>арушени</w:t>
      </w:r>
      <w:r w:rsidRPr="002F30CC">
        <w:rPr>
          <w:bCs/>
          <w:iCs/>
          <w:sz w:val="24"/>
          <w:szCs w:val="24"/>
        </w:rPr>
        <w:t>я</w:t>
      </w:r>
      <w:r w:rsidR="00823B4B" w:rsidRPr="002F30CC">
        <w:rPr>
          <w:bCs/>
          <w:iCs/>
          <w:sz w:val="24"/>
          <w:szCs w:val="24"/>
        </w:rPr>
        <w:t xml:space="preserve"> </w:t>
      </w:r>
      <w:r w:rsidR="00103A8A" w:rsidRPr="002F30CC">
        <w:rPr>
          <w:bCs/>
          <w:iCs/>
          <w:sz w:val="24"/>
          <w:szCs w:val="24"/>
        </w:rPr>
        <w:t xml:space="preserve">НПА </w:t>
      </w:r>
      <w:r w:rsidR="00C72EE8" w:rsidRPr="002F30CC">
        <w:rPr>
          <w:bCs/>
          <w:iCs/>
          <w:sz w:val="24"/>
          <w:szCs w:val="24"/>
        </w:rPr>
        <w:t xml:space="preserve">при </w:t>
      </w:r>
      <w:r w:rsidR="00823B4B" w:rsidRPr="002F30CC">
        <w:rPr>
          <w:bCs/>
          <w:iCs/>
          <w:sz w:val="24"/>
          <w:szCs w:val="24"/>
        </w:rPr>
        <w:t>определени</w:t>
      </w:r>
      <w:r w:rsidR="00C72EE8" w:rsidRPr="002F30CC">
        <w:rPr>
          <w:bCs/>
          <w:iCs/>
          <w:sz w:val="24"/>
          <w:szCs w:val="24"/>
        </w:rPr>
        <w:t>и</w:t>
      </w:r>
      <w:r w:rsidR="00823B4B" w:rsidRPr="002F30CC">
        <w:rPr>
          <w:bCs/>
          <w:iCs/>
          <w:sz w:val="24"/>
          <w:szCs w:val="24"/>
        </w:rPr>
        <w:t xml:space="preserve"> объема и условий предоставления субсидий</w:t>
      </w:r>
      <w:r w:rsidR="00C72EE8" w:rsidRPr="002F30CC">
        <w:rPr>
          <w:bCs/>
          <w:iCs/>
          <w:sz w:val="24"/>
          <w:szCs w:val="24"/>
        </w:rPr>
        <w:t>, когда</w:t>
      </w:r>
      <w:r w:rsidR="00823B4B" w:rsidRPr="002F30CC">
        <w:rPr>
          <w:bCs/>
          <w:iCs/>
          <w:sz w:val="24"/>
          <w:szCs w:val="24"/>
        </w:rPr>
        <w:t xml:space="preserve"> решения об обоснованности предоставления целевой субсидии </w:t>
      </w:r>
      <w:r w:rsidR="00C72EE8" w:rsidRPr="002F30CC">
        <w:rPr>
          <w:bCs/>
          <w:iCs/>
          <w:sz w:val="24"/>
          <w:szCs w:val="24"/>
        </w:rPr>
        <w:t xml:space="preserve">принимаются </w:t>
      </w:r>
      <w:r w:rsidR="00823B4B" w:rsidRPr="002F30CC">
        <w:rPr>
          <w:bCs/>
          <w:iCs/>
          <w:sz w:val="24"/>
          <w:szCs w:val="24"/>
        </w:rPr>
        <w:t>в отсутствие</w:t>
      </w:r>
      <w:r w:rsidR="00C72EE8" w:rsidRPr="002F30CC">
        <w:rPr>
          <w:bCs/>
          <w:iCs/>
          <w:sz w:val="24"/>
          <w:szCs w:val="24"/>
        </w:rPr>
        <w:t xml:space="preserve"> правоустанавливающих документов</w:t>
      </w:r>
      <w:r w:rsidR="00823B4B" w:rsidRPr="002F30CC">
        <w:rPr>
          <w:bCs/>
          <w:iCs/>
          <w:sz w:val="24"/>
          <w:szCs w:val="24"/>
        </w:rPr>
        <w:t>, необходимых для определения объема субсидии</w:t>
      </w:r>
      <w:r w:rsidR="00C72EE8" w:rsidRPr="002F30CC">
        <w:rPr>
          <w:bCs/>
          <w:iCs/>
          <w:sz w:val="24"/>
          <w:szCs w:val="24"/>
        </w:rPr>
        <w:t>, а кроме того, возможности выделения целевой субсидии;</w:t>
      </w:r>
    </w:p>
    <w:p w14:paraId="460E6607" w14:textId="77777777" w:rsidR="00B66A90" w:rsidRPr="002F30CC" w:rsidRDefault="00B66A90" w:rsidP="00827125">
      <w:pPr>
        <w:tabs>
          <w:tab w:val="left" w:pos="1134"/>
        </w:tabs>
        <w:spacing w:before="150" w:after="100" w:afterAutospacing="1" w:line="240" w:lineRule="auto"/>
        <w:ind w:firstLine="567"/>
        <w:contextualSpacing/>
        <w:rPr>
          <w:bCs/>
          <w:iCs/>
          <w:sz w:val="24"/>
          <w:szCs w:val="24"/>
        </w:rPr>
      </w:pPr>
    </w:p>
    <w:p w14:paraId="2375344A" w14:textId="6F1C77D3" w:rsidR="00B66A90" w:rsidRPr="002F30CC" w:rsidRDefault="00C72EE8" w:rsidP="00827125">
      <w:pPr>
        <w:tabs>
          <w:tab w:val="left" w:pos="567"/>
          <w:tab w:val="left" w:pos="1134"/>
        </w:tabs>
        <w:spacing w:line="240" w:lineRule="auto"/>
        <w:ind w:firstLine="567"/>
        <w:rPr>
          <w:sz w:val="24"/>
          <w:szCs w:val="24"/>
        </w:rPr>
      </w:pPr>
      <w:r w:rsidRPr="002F30CC">
        <w:rPr>
          <w:rFonts w:eastAsia="Calibri"/>
          <w:bCs/>
          <w:sz w:val="24"/>
          <w:szCs w:val="24"/>
          <w:lang w:eastAsia="en-US"/>
        </w:rPr>
        <w:t>- заключение муниципальн</w:t>
      </w:r>
      <w:r w:rsidR="00A326AA" w:rsidRPr="002F30CC">
        <w:rPr>
          <w:rFonts w:eastAsia="Calibri"/>
          <w:bCs/>
          <w:sz w:val="24"/>
          <w:szCs w:val="24"/>
          <w:lang w:eastAsia="en-US"/>
        </w:rPr>
        <w:t>ого</w:t>
      </w:r>
      <w:r w:rsidRPr="002F30CC">
        <w:rPr>
          <w:rFonts w:eastAsia="Calibri"/>
          <w:bCs/>
          <w:sz w:val="24"/>
          <w:szCs w:val="24"/>
          <w:lang w:eastAsia="en-US"/>
        </w:rPr>
        <w:t xml:space="preserve"> контракт</w:t>
      </w:r>
      <w:r w:rsidR="00A326AA" w:rsidRPr="002F30CC">
        <w:rPr>
          <w:rFonts w:eastAsia="Calibri"/>
          <w:bCs/>
          <w:sz w:val="24"/>
          <w:szCs w:val="24"/>
          <w:lang w:eastAsia="en-US"/>
        </w:rPr>
        <w:t>а</w:t>
      </w:r>
      <w:r w:rsidRPr="002F30CC">
        <w:rPr>
          <w:rFonts w:eastAsia="Calibri"/>
          <w:bCs/>
          <w:sz w:val="24"/>
          <w:szCs w:val="24"/>
          <w:lang w:eastAsia="en-US"/>
        </w:rPr>
        <w:t xml:space="preserve"> на создание проектно-сметной документации с одновременным проведением экспертизы этой же проектно-с</w:t>
      </w:r>
      <w:r w:rsidR="000049FD" w:rsidRPr="002F30CC">
        <w:rPr>
          <w:rFonts w:eastAsia="Calibri"/>
          <w:bCs/>
          <w:sz w:val="24"/>
          <w:szCs w:val="24"/>
          <w:lang w:eastAsia="en-US"/>
        </w:rPr>
        <w:t>м</w:t>
      </w:r>
      <w:r w:rsidRPr="002F30CC">
        <w:rPr>
          <w:rFonts w:eastAsia="Calibri"/>
          <w:bCs/>
          <w:sz w:val="24"/>
          <w:szCs w:val="24"/>
          <w:lang w:eastAsia="en-US"/>
        </w:rPr>
        <w:t>етной документации</w:t>
      </w:r>
      <w:r w:rsidR="00A326AA" w:rsidRPr="002F30CC">
        <w:rPr>
          <w:rFonts w:eastAsia="Calibri"/>
          <w:bCs/>
          <w:sz w:val="24"/>
          <w:szCs w:val="24"/>
          <w:lang w:eastAsia="en-US"/>
        </w:rPr>
        <w:t xml:space="preserve"> у одного и того же поставщика услуг</w:t>
      </w:r>
      <w:r w:rsidR="00B66A90" w:rsidRPr="002F30CC">
        <w:rPr>
          <w:rFonts w:eastAsia="Calibri"/>
          <w:bCs/>
          <w:sz w:val="24"/>
          <w:szCs w:val="24"/>
          <w:lang w:eastAsia="en-US"/>
        </w:rPr>
        <w:t xml:space="preserve">, </w:t>
      </w:r>
      <w:r w:rsidR="000049FD" w:rsidRPr="002F30CC">
        <w:rPr>
          <w:rFonts w:eastAsia="Calibri"/>
          <w:bCs/>
          <w:sz w:val="24"/>
          <w:szCs w:val="24"/>
          <w:lang w:eastAsia="en-US"/>
        </w:rPr>
        <w:t>что приводило</w:t>
      </w:r>
      <w:r w:rsidR="00A326AA" w:rsidRPr="002F30CC">
        <w:rPr>
          <w:rFonts w:eastAsia="Calibri"/>
          <w:bCs/>
          <w:sz w:val="24"/>
          <w:szCs w:val="24"/>
          <w:lang w:eastAsia="en-US"/>
        </w:rPr>
        <w:t xml:space="preserve"> к тому, что </w:t>
      </w:r>
      <w:r w:rsidR="00B66A90" w:rsidRPr="002F30CC">
        <w:rPr>
          <w:rFonts w:eastAsia="Calibri"/>
          <w:bCs/>
          <w:sz w:val="24"/>
          <w:szCs w:val="24"/>
          <w:lang w:eastAsia="en-US"/>
        </w:rPr>
        <w:t xml:space="preserve">отдельные </w:t>
      </w:r>
      <w:r w:rsidR="000049FD" w:rsidRPr="002F30CC">
        <w:rPr>
          <w:rFonts w:eastAsia="Calibri"/>
          <w:bCs/>
          <w:sz w:val="24"/>
          <w:szCs w:val="24"/>
          <w:lang w:eastAsia="en-US"/>
        </w:rPr>
        <w:t>позиции</w:t>
      </w:r>
      <w:r w:rsidR="00B66A90" w:rsidRPr="002F30CC">
        <w:rPr>
          <w:rFonts w:eastAsia="Calibri"/>
          <w:bCs/>
          <w:sz w:val="24"/>
          <w:szCs w:val="24"/>
          <w:lang w:eastAsia="en-US"/>
        </w:rPr>
        <w:t xml:space="preserve"> </w:t>
      </w:r>
      <w:r w:rsidR="00A326AA" w:rsidRPr="002F30CC">
        <w:rPr>
          <w:rFonts w:eastAsia="Calibri"/>
          <w:bCs/>
          <w:sz w:val="24"/>
          <w:szCs w:val="24"/>
          <w:lang w:eastAsia="en-US"/>
        </w:rPr>
        <w:t>сметной документации</w:t>
      </w:r>
      <w:r w:rsidR="004B4F01" w:rsidRPr="002F30CC">
        <w:rPr>
          <w:rFonts w:eastAsia="Calibri"/>
          <w:bCs/>
          <w:sz w:val="24"/>
          <w:szCs w:val="24"/>
          <w:lang w:eastAsia="en-US"/>
        </w:rPr>
        <w:t xml:space="preserve"> </w:t>
      </w:r>
      <w:r w:rsidR="000049FD" w:rsidRPr="002F30CC">
        <w:rPr>
          <w:rFonts w:eastAsia="Calibri"/>
          <w:bCs/>
          <w:sz w:val="24"/>
          <w:szCs w:val="24"/>
          <w:lang w:eastAsia="en-US"/>
        </w:rPr>
        <w:t>в части</w:t>
      </w:r>
      <w:r w:rsidR="00B66A90" w:rsidRPr="002F30CC">
        <w:rPr>
          <w:rFonts w:eastAsia="Calibri"/>
          <w:bCs/>
          <w:sz w:val="24"/>
          <w:szCs w:val="24"/>
          <w:lang w:eastAsia="en-US"/>
        </w:rPr>
        <w:t xml:space="preserve"> цен поставщика, в н</w:t>
      </w:r>
      <w:r w:rsidR="00B66A90" w:rsidRPr="002F30CC">
        <w:rPr>
          <w:sz w:val="24"/>
          <w:szCs w:val="24"/>
        </w:rPr>
        <w:t>арушение пункта 20 статьи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не подвергались экспертизе в связи с отсутствием коммерческих предложений от трёх действующих специализированных фирм-поставщиков</w:t>
      </w:r>
      <w:r w:rsidR="00A326AA" w:rsidRPr="002F30CC">
        <w:rPr>
          <w:sz w:val="24"/>
          <w:szCs w:val="24"/>
        </w:rPr>
        <w:t xml:space="preserve"> и </w:t>
      </w:r>
      <w:r w:rsidR="000049FD" w:rsidRPr="002F30CC">
        <w:rPr>
          <w:sz w:val="24"/>
          <w:szCs w:val="24"/>
        </w:rPr>
        <w:t>проведению</w:t>
      </w:r>
      <w:r w:rsidR="00A326AA" w:rsidRPr="002F30CC">
        <w:rPr>
          <w:sz w:val="24"/>
          <w:szCs w:val="24"/>
        </w:rPr>
        <w:t xml:space="preserve"> конъюнктурного анализа рынка соответствующих товаров</w:t>
      </w:r>
      <w:r w:rsidR="00B66A90" w:rsidRPr="002F30CC">
        <w:rPr>
          <w:sz w:val="24"/>
          <w:szCs w:val="24"/>
        </w:rPr>
        <w:t>, что могло привести к завышению НМЦК и</w:t>
      </w:r>
      <w:r w:rsidR="000049FD" w:rsidRPr="002F30CC">
        <w:rPr>
          <w:sz w:val="24"/>
          <w:szCs w:val="24"/>
        </w:rPr>
        <w:t>,</w:t>
      </w:r>
      <w:r w:rsidR="00B66A90" w:rsidRPr="002F30CC">
        <w:rPr>
          <w:sz w:val="24"/>
          <w:szCs w:val="24"/>
        </w:rPr>
        <w:t xml:space="preserve"> как следствие </w:t>
      </w:r>
      <w:r w:rsidR="000049FD" w:rsidRPr="002F30CC">
        <w:rPr>
          <w:sz w:val="24"/>
          <w:szCs w:val="24"/>
        </w:rPr>
        <w:t xml:space="preserve">‒ </w:t>
      </w:r>
      <w:r w:rsidR="00B66A90" w:rsidRPr="002F30CC">
        <w:rPr>
          <w:sz w:val="24"/>
          <w:szCs w:val="24"/>
        </w:rPr>
        <w:t>к неэффективному использованию средств бюджета, иными словами</w:t>
      </w:r>
      <w:r w:rsidR="000049FD" w:rsidRPr="002F30CC">
        <w:rPr>
          <w:sz w:val="24"/>
          <w:szCs w:val="24"/>
        </w:rPr>
        <w:t xml:space="preserve"> ‒ к</w:t>
      </w:r>
      <w:r w:rsidR="00B66A90" w:rsidRPr="002F30CC">
        <w:rPr>
          <w:sz w:val="24"/>
          <w:szCs w:val="24"/>
        </w:rPr>
        <w:t xml:space="preserve"> ущербу бюджет</w:t>
      </w:r>
      <w:r w:rsidR="005910E8" w:rsidRPr="002F30CC">
        <w:rPr>
          <w:sz w:val="24"/>
          <w:szCs w:val="24"/>
        </w:rPr>
        <w:t>а</w:t>
      </w:r>
      <w:r w:rsidR="00B66A90" w:rsidRPr="002F30CC">
        <w:rPr>
          <w:sz w:val="24"/>
          <w:szCs w:val="24"/>
        </w:rPr>
        <w:t xml:space="preserve"> муниципального образования;</w:t>
      </w:r>
    </w:p>
    <w:p w14:paraId="4D33E9A6" w14:textId="77777777" w:rsidR="00055B46" w:rsidRPr="002F30CC" w:rsidRDefault="00055B46" w:rsidP="00827125">
      <w:pPr>
        <w:tabs>
          <w:tab w:val="left" w:pos="567"/>
          <w:tab w:val="left" w:pos="1134"/>
        </w:tabs>
        <w:spacing w:line="240" w:lineRule="auto"/>
        <w:ind w:firstLine="567"/>
        <w:rPr>
          <w:sz w:val="24"/>
          <w:szCs w:val="24"/>
        </w:rPr>
      </w:pPr>
    </w:p>
    <w:p w14:paraId="26A6C517" w14:textId="51749158" w:rsidR="00055B46" w:rsidRPr="002F30CC" w:rsidRDefault="00055B46" w:rsidP="00827125">
      <w:pPr>
        <w:tabs>
          <w:tab w:val="left" w:pos="567"/>
          <w:tab w:val="left" w:pos="1134"/>
        </w:tabs>
        <w:spacing w:line="240" w:lineRule="auto"/>
        <w:ind w:firstLine="567"/>
        <w:rPr>
          <w:sz w:val="24"/>
          <w:szCs w:val="24"/>
        </w:rPr>
      </w:pPr>
      <w:r w:rsidRPr="002F30CC">
        <w:rPr>
          <w:sz w:val="24"/>
          <w:szCs w:val="24"/>
        </w:rPr>
        <w:t>- формирование НМЦК по стоимости отдельных видов работ и материалов, учтенных в локально-сметных расчетах, которая определена путем запроса коммерческих предложений при существующих единичных расценках на данные виды работ, сведения о которых включены в федеральный реестр сметных нормативов. Указанное нарушение может привести к завышению НМЦК и</w:t>
      </w:r>
      <w:r w:rsidR="005910E8" w:rsidRPr="002F30CC">
        <w:rPr>
          <w:sz w:val="24"/>
          <w:szCs w:val="24"/>
        </w:rPr>
        <w:t>,</w:t>
      </w:r>
      <w:r w:rsidRPr="002F30CC">
        <w:rPr>
          <w:sz w:val="24"/>
          <w:szCs w:val="24"/>
        </w:rPr>
        <w:t xml:space="preserve"> как следствие </w:t>
      </w:r>
      <w:r w:rsidR="005910E8" w:rsidRPr="002F30CC">
        <w:rPr>
          <w:sz w:val="24"/>
          <w:szCs w:val="24"/>
        </w:rPr>
        <w:t xml:space="preserve">‒ </w:t>
      </w:r>
      <w:r w:rsidRPr="002F30CC">
        <w:rPr>
          <w:sz w:val="24"/>
          <w:szCs w:val="24"/>
        </w:rPr>
        <w:t xml:space="preserve">к неэффективному использованию средств бюджета, иными словами ущербу бюджета муниципального образования; </w:t>
      </w:r>
    </w:p>
    <w:p w14:paraId="58F33E4F" w14:textId="2697CFF6" w:rsidR="00C72EE8" w:rsidRPr="002F30CC" w:rsidRDefault="00C72EE8" w:rsidP="00827125">
      <w:pPr>
        <w:tabs>
          <w:tab w:val="left" w:pos="1134"/>
          <w:tab w:val="left" w:pos="1418"/>
          <w:tab w:val="left" w:pos="1701"/>
        </w:tabs>
        <w:spacing w:line="240" w:lineRule="auto"/>
        <w:ind w:firstLine="567"/>
        <w:rPr>
          <w:rFonts w:eastAsia="Calibri"/>
          <w:bCs/>
          <w:sz w:val="24"/>
          <w:szCs w:val="24"/>
          <w:lang w:eastAsia="en-US"/>
        </w:rPr>
      </w:pPr>
    </w:p>
    <w:p w14:paraId="461990D5" w14:textId="22E879CB" w:rsidR="00823B4B" w:rsidRPr="002F30CC" w:rsidRDefault="00055B46" w:rsidP="00827125">
      <w:pPr>
        <w:tabs>
          <w:tab w:val="left" w:pos="1418"/>
          <w:tab w:val="left" w:pos="1701"/>
        </w:tabs>
        <w:spacing w:line="240" w:lineRule="auto"/>
        <w:ind w:firstLine="567"/>
        <w:rPr>
          <w:rFonts w:eastAsia="Calibri"/>
          <w:color w:val="000000"/>
          <w:sz w:val="24"/>
          <w:szCs w:val="24"/>
          <w:lang w:eastAsia="en-US"/>
        </w:rPr>
      </w:pPr>
      <w:r w:rsidRPr="002F30CC">
        <w:rPr>
          <w:rFonts w:eastAsia="Calibri"/>
          <w:color w:val="000000"/>
          <w:sz w:val="24"/>
          <w:szCs w:val="24"/>
          <w:lang w:eastAsia="en-US"/>
        </w:rPr>
        <w:t>- н</w:t>
      </w:r>
      <w:r w:rsidR="00823B4B" w:rsidRPr="002F30CC">
        <w:rPr>
          <w:rFonts w:eastAsia="Calibri"/>
          <w:color w:val="000000"/>
          <w:sz w:val="24"/>
          <w:szCs w:val="24"/>
          <w:lang w:eastAsia="en-US"/>
        </w:rPr>
        <w:t>арушение главы 22 Гражданского кодекса Российской Федерации, ст.94 Федерального закона № 44-ФЗ</w:t>
      </w:r>
      <w:r w:rsidR="00BD0FF0" w:rsidRPr="002F30CC">
        <w:rPr>
          <w:rFonts w:eastAsia="Calibri"/>
          <w:color w:val="000000"/>
          <w:sz w:val="24"/>
          <w:szCs w:val="24"/>
          <w:lang w:eastAsia="en-US"/>
        </w:rPr>
        <w:t>:</w:t>
      </w:r>
      <w:r w:rsidR="00823B4B" w:rsidRPr="002F30CC">
        <w:rPr>
          <w:rFonts w:eastAsia="Calibri"/>
          <w:color w:val="000000"/>
          <w:sz w:val="24"/>
          <w:szCs w:val="24"/>
          <w:lang w:eastAsia="en-US"/>
        </w:rPr>
        <w:t xml:space="preserve"> приемка и оплата завышенных (невыполненных) объемов работ, несоответствующих условиям </w:t>
      </w:r>
      <w:r w:rsidR="00BD0FF0" w:rsidRPr="002F30CC">
        <w:rPr>
          <w:rFonts w:eastAsia="Calibri"/>
          <w:color w:val="000000"/>
          <w:sz w:val="24"/>
          <w:szCs w:val="24"/>
          <w:lang w:eastAsia="en-US"/>
        </w:rPr>
        <w:t>к</w:t>
      </w:r>
      <w:r w:rsidR="00823B4B" w:rsidRPr="002F30CC">
        <w:rPr>
          <w:rFonts w:eastAsia="Calibri"/>
          <w:color w:val="000000"/>
          <w:sz w:val="24"/>
          <w:szCs w:val="24"/>
          <w:lang w:eastAsia="en-US"/>
        </w:rPr>
        <w:t>онтракта</w:t>
      </w:r>
      <w:r w:rsidRPr="002F30CC">
        <w:rPr>
          <w:rFonts w:eastAsia="Calibri"/>
          <w:color w:val="000000"/>
          <w:sz w:val="24"/>
          <w:szCs w:val="24"/>
          <w:lang w:eastAsia="en-US"/>
        </w:rPr>
        <w:t>.</w:t>
      </w:r>
    </w:p>
    <w:p w14:paraId="6DE8C92D" w14:textId="039C0839" w:rsidR="00BD0FF0" w:rsidRPr="002F30CC" w:rsidRDefault="00BD0FF0" w:rsidP="00827125">
      <w:pPr>
        <w:tabs>
          <w:tab w:val="left" w:pos="1418"/>
          <w:tab w:val="left" w:pos="1701"/>
        </w:tabs>
        <w:spacing w:line="240" w:lineRule="auto"/>
        <w:ind w:firstLine="567"/>
        <w:rPr>
          <w:sz w:val="24"/>
          <w:szCs w:val="24"/>
        </w:rPr>
      </w:pPr>
      <w:r w:rsidRPr="002F30CC">
        <w:rPr>
          <w:sz w:val="24"/>
          <w:szCs w:val="24"/>
        </w:rPr>
        <w:t>Годами ранее приведенное нарушение квалифицировалось как нецелевое использование бюджетных средств и превышение размера ущерба в 1</w:t>
      </w:r>
      <w:r w:rsidR="004B4F01" w:rsidRPr="002F30CC">
        <w:rPr>
          <w:sz w:val="24"/>
          <w:szCs w:val="24"/>
        </w:rPr>
        <w:t>,</w:t>
      </w:r>
      <w:r w:rsidRPr="002F30CC">
        <w:rPr>
          <w:sz w:val="24"/>
          <w:szCs w:val="24"/>
        </w:rPr>
        <w:t>5 млн. рублей подпадало под нормы статей Уголовного кодекса РФ. В настоящее время нарушение квалифицируется как нарушение действующих норм законодательства о закупках товаров, работ и услуг и является административным правонарушением независимо от суммы ущерба бюджету муниципальному образованию</w:t>
      </w:r>
      <w:r w:rsidR="00055B46" w:rsidRPr="002F30CC">
        <w:rPr>
          <w:sz w:val="24"/>
          <w:szCs w:val="24"/>
        </w:rPr>
        <w:t>;</w:t>
      </w:r>
    </w:p>
    <w:p w14:paraId="3A5B4B02" w14:textId="1BF93837" w:rsidR="00A326AA" w:rsidRPr="002F30CC" w:rsidRDefault="00A326AA" w:rsidP="00827125">
      <w:pPr>
        <w:tabs>
          <w:tab w:val="left" w:pos="567"/>
          <w:tab w:val="left" w:pos="1134"/>
        </w:tabs>
        <w:spacing w:line="240" w:lineRule="auto"/>
        <w:ind w:firstLine="567"/>
        <w:rPr>
          <w:rFonts w:eastAsia="Calibri"/>
          <w:sz w:val="24"/>
          <w:szCs w:val="24"/>
          <w:lang w:eastAsia="en-US"/>
        </w:rPr>
      </w:pPr>
    </w:p>
    <w:p w14:paraId="131096ED" w14:textId="60D5303B" w:rsidR="00A326AA" w:rsidRPr="002F30CC" w:rsidRDefault="00A326AA" w:rsidP="00827125">
      <w:pPr>
        <w:tabs>
          <w:tab w:val="left" w:pos="1134"/>
          <w:tab w:val="left" w:pos="1418"/>
          <w:tab w:val="left" w:pos="1701"/>
        </w:tabs>
        <w:spacing w:line="240" w:lineRule="auto"/>
        <w:ind w:firstLine="567"/>
        <w:rPr>
          <w:sz w:val="24"/>
          <w:szCs w:val="24"/>
        </w:rPr>
      </w:pPr>
      <w:r w:rsidRPr="002F30CC">
        <w:rPr>
          <w:sz w:val="24"/>
          <w:szCs w:val="24"/>
        </w:rPr>
        <w:t>- отсутствие контроля заказчика за проведением строительного контроля, выполняемого подрядным способом (формальный строительный контроль, когда строительному контролю</w:t>
      </w:r>
      <w:r w:rsidR="00D25D5F" w:rsidRPr="002F30CC">
        <w:rPr>
          <w:sz w:val="24"/>
          <w:szCs w:val="24"/>
        </w:rPr>
        <w:t>,</w:t>
      </w:r>
      <w:r w:rsidRPr="002F30CC">
        <w:rPr>
          <w:sz w:val="24"/>
          <w:szCs w:val="24"/>
        </w:rPr>
        <w:t xml:space="preserve"> согласно представленной документации</w:t>
      </w:r>
      <w:r w:rsidR="00D25D5F" w:rsidRPr="002F30CC">
        <w:rPr>
          <w:sz w:val="24"/>
          <w:szCs w:val="24"/>
        </w:rPr>
        <w:t>, подвергаются фактически не</w:t>
      </w:r>
      <w:r w:rsidRPr="002F30CC">
        <w:rPr>
          <w:sz w:val="24"/>
          <w:szCs w:val="24"/>
        </w:rPr>
        <w:t>выполненные работы, в том числе на сумму которых впоследстви</w:t>
      </w:r>
      <w:r w:rsidR="00D25D5F" w:rsidRPr="002F30CC">
        <w:rPr>
          <w:sz w:val="24"/>
          <w:szCs w:val="24"/>
        </w:rPr>
        <w:t>и</w:t>
      </w:r>
      <w:r w:rsidRPr="002F30CC">
        <w:rPr>
          <w:sz w:val="24"/>
          <w:szCs w:val="24"/>
        </w:rPr>
        <w:t xml:space="preserve"> заключается дополнительное соглашение к муниципальному контракту)</w:t>
      </w:r>
      <w:r w:rsidR="00AA2E5F" w:rsidRPr="002F30CC">
        <w:rPr>
          <w:sz w:val="24"/>
          <w:szCs w:val="24"/>
        </w:rPr>
        <w:t>;</w:t>
      </w:r>
    </w:p>
    <w:p w14:paraId="7A02AEF0" w14:textId="77777777" w:rsidR="00AA2E5F" w:rsidRPr="002F30CC" w:rsidRDefault="00AA2E5F" w:rsidP="00827125">
      <w:pPr>
        <w:tabs>
          <w:tab w:val="left" w:pos="1134"/>
          <w:tab w:val="left" w:pos="1418"/>
          <w:tab w:val="left" w:pos="1701"/>
        </w:tabs>
        <w:spacing w:line="240" w:lineRule="auto"/>
        <w:ind w:firstLine="567"/>
        <w:rPr>
          <w:rFonts w:eastAsia="Calibri"/>
          <w:bCs/>
          <w:sz w:val="24"/>
          <w:szCs w:val="24"/>
          <w:lang w:eastAsia="en-US"/>
        </w:rPr>
      </w:pPr>
    </w:p>
    <w:p w14:paraId="48B68ED7" w14:textId="6DA30D5F" w:rsidR="00AA2E5F" w:rsidRPr="002F30CC" w:rsidRDefault="00AA2E5F" w:rsidP="00827125">
      <w:pPr>
        <w:tabs>
          <w:tab w:val="left" w:pos="1134"/>
          <w:tab w:val="left" w:pos="1418"/>
          <w:tab w:val="left" w:pos="1701"/>
        </w:tabs>
        <w:spacing w:line="240" w:lineRule="auto"/>
        <w:ind w:firstLine="567"/>
        <w:rPr>
          <w:rFonts w:eastAsia="Calibri"/>
          <w:bCs/>
          <w:sz w:val="24"/>
          <w:szCs w:val="24"/>
          <w:lang w:eastAsia="en-US"/>
        </w:rPr>
      </w:pPr>
      <w:r w:rsidRPr="002F30CC">
        <w:rPr>
          <w:rFonts w:eastAsia="Calibri"/>
          <w:bCs/>
          <w:sz w:val="24"/>
          <w:szCs w:val="24"/>
          <w:lang w:eastAsia="en-US"/>
        </w:rPr>
        <w:t>- нарушения в части проведения экспертизы выполненных подрядными организациями работ (СМР, работ по б</w:t>
      </w:r>
      <w:r w:rsidR="00FA755B" w:rsidRPr="002F30CC">
        <w:rPr>
          <w:rFonts w:eastAsia="Calibri"/>
          <w:bCs/>
          <w:sz w:val="24"/>
          <w:szCs w:val="24"/>
          <w:lang w:eastAsia="en-US"/>
        </w:rPr>
        <w:t>лагоустройству территорий и пр.)</w:t>
      </w:r>
      <w:r w:rsidRPr="002F30CC">
        <w:rPr>
          <w:rFonts w:eastAsia="Calibri"/>
          <w:bCs/>
          <w:sz w:val="24"/>
          <w:szCs w:val="24"/>
          <w:lang w:eastAsia="en-US"/>
        </w:rPr>
        <w:t xml:space="preserve"> как собственными силами заказчика, так и привлеченными экспертными организациям</w:t>
      </w:r>
      <w:r w:rsidR="00FA755B" w:rsidRPr="002F30CC">
        <w:rPr>
          <w:rFonts w:eastAsia="Calibri"/>
          <w:bCs/>
          <w:sz w:val="24"/>
          <w:szCs w:val="24"/>
          <w:lang w:eastAsia="en-US"/>
        </w:rPr>
        <w:t>и</w:t>
      </w:r>
      <w:r w:rsidRPr="002F30CC">
        <w:rPr>
          <w:rFonts w:eastAsia="Calibri"/>
          <w:bCs/>
          <w:sz w:val="24"/>
          <w:szCs w:val="24"/>
          <w:lang w:eastAsia="en-US"/>
        </w:rPr>
        <w:t xml:space="preserve"> (когда экспертиза не отмечает явные нарушения строительных норм и правил, проводится формально, о чем свидетельствуют оформленные документы по экспертизе);</w:t>
      </w:r>
    </w:p>
    <w:p w14:paraId="7C38332F" w14:textId="77777777" w:rsidR="00A326AA" w:rsidRPr="002F30CC" w:rsidRDefault="00A326AA" w:rsidP="00827125">
      <w:pPr>
        <w:tabs>
          <w:tab w:val="left" w:pos="567"/>
          <w:tab w:val="left" w:pos="1134"/>
        </w:tabs>
        <w:spacing w:line="240" w:lineRule="auto"/>
        <w:ind w:firstLine="567"/>
        <w:rPr>
          <w:rFonts w:eastAsia="Calibri"/>
          <w:sz w:val="24"/>
          <w:szCs w:val="24"/>
          <w:lang w:eastAsia="en-US"/>
        </w:rPr>
      </w:pPr>
    </w:p>
    <w:p w14:paraId="2B5179F2" w14:textId="6CD1216F" w:rsidR="00AA2E5F" w:rsidRPr="002F30CC" w:rsidRDefault="00055B46" w:rsidP="00827125">
      <w:pPr>
        <w:tabs>
          <w:tab w:val="left" w:pos="567"/>
          <w:tab w:val="left" w:pos="1134"/>
          <w:tab w:val="left" w:pos="1701"/>
        </w:tabs>
        <w:spacing w:line="240" w:lineRule="auto"/>
        <w:ind w:firstLine="567"/>
        <w:rPr>
          <w:sz w:val="24"/>
          <w:szCs w:val="24"/>
        </w:rPr>
      </w:pPr>
      <w:r w:rsidRPr="002F30CC">
        <w:rPr>
          <w:rFonts w:eastAsia="Calibri"/>
          <w:sz w:val="24"/>
          <w:szCs w:val="24"/>
          <w:lang w:eastAsia="en-US"/>
        </w:rPr>
        <w:lastRenderedPageBreak/>
        <w:t xml:space="preserve">- нарушения при выборе способа закупки основного средства, когда его неделимые части закупаются как </w:t>
      </w:r>
      <w:r w:rsidR="00FA755B" w:rsidRPr="002F30CC">
        <w:rPr>
          <w:rFonts w:eastAsia="Calibri"/>
          <w:sz w:val="24"/>
          <w:szCs w:val="24"/>
          <w:lang w:eastAsia="en-US"/>
        </w:rPr>
        <w:t xml:space="preserve">отдельные </w:t>
      </w:r>
      <w:r w:rsidRPr="002F30CC">
        <w:rPr>
          <w:rFonts w:eastAsia="Calibri"/>
          <w:sz w:val="24"/>
          <w:szCs w:val="24"/>
          <w:lang w:eastAsia="en-US"/>
        </w:rPr>
        <w:t xml:space="preserve">объекты основных средств, минуя </w:t>
      </w:r>
      <w:r w:rsidR="00FA755B" w:rsidRPr="002F30CC">
        <w:rPr>
          <w:rFonts w:eastAsia="Calibri"/>
          <w:sz w:val="24"/>
          <w:szCs w:val="24"/>
          <w:lang w:eastAsia="en-US"/>
        </w:rPr>
        <w:t xml:space="preserve">проведение </w:t>
      </w:r>
      <w:r w:rsidRPr="002F30CC">
        <w:rPr>
          <w:rFonts w:eastAsia="Calibri"/>
          <w:sz w:val="24"/>
          <w:szCs w:val="24"/>
          <w:lang w:eastAsia="en-US"/>
        </w:rPr>
        <w:t>электронного аукциона, а выходя в электронный магазин в предельном размере стоимости закупки</w:t>
      </w:r>
      <w:r w:rsidR="00FA755B" w:rsidRPr="002F30CC">
        <w:rPr>
          <w:rFonts w:eastAsia="Calibri"/>
          <w:sz w:val="24"/>
          <w:szCs w:val="24"/>
          <w:lang w:eastAsia="en-US"/>
        </w:rPr>
        <w:t xml:space="preserve"> </w:t>
      </w:r>
      <w:r w:rsidR="009D6EA3" w:rsidRPr="002F30CC">
        <w:rPr>
          <w:rFonts w:eastAsia="Calibri"/>
          <w:sz w:val="24"/>
          <w:szCs w:val="24"/>
          <w:lang w:eastAsia="en-US"/>
        </w:rPr>
        <w:t>у единственного поставщика</w:t>
      </w:r>
      <w:r w:rsidRPr="002F30CC">
        <w:rPr>
          <w:rFonts w:eastAsia="Calibri"/>
          <w:sz w:val="24"/>
          <w:szCs w:val="24"/>
          <w:lang w:eastAsia="en-US"/>
        </w:rPr>
        <w:t xml:space="preserve"> (до 600 тыс. рублей</w:t>
      </w:r>
      <w:r w:rsidR="00FA755B" w:rsidRPr="002F30CC">
        <w:rPr>
          <w:rFonts w:eastAsia="Calibri"/>
          <w:sz w:val="24"/>
          <w:szCs w:val="24"/>
          <w:lang w:eastAsia="en-US"/>
        </w:rPr>
        <w:t>)</w:t>
      </w:r>
      <w:r w:rsidRPr="002F30CC">
        <w:rPr>
          <w:rFonts w:eastAsia="Calibri"/>
          <w:sz w:val="24"/>
          <w:szCs w:val="24"/>
          <w:lang w:eastAsia="en-US"/>
        </w:rPr>
        <w:t xml:space="preserve">. Проводя закупку частей целого неделимого объекта, нет возможности провести конъюнктурный анализ рынка соответствующего товара, поскольку такого не существует и быть не может. Все это </w:t>
      </w:r>
      <w:r w:rsidRPr="002F30CC">
        <w:rPr>
          <w:sz w:val="24"/>
          <w:szCs w:val="24"/>
        </w:rPr>
        <w:t>может привести к завышению НМЦК и</w:t>
      </w:r>
      <w:r w:rsidR="009D6EA3" w:rsidRPr="002F30CC">
        <w:rPr>
          <w:sz w:val="24"/>
          <w:szCs w:val="24"/>
        </w:rPr>
        <w:t>,</w:t>
      </w:r>
      <w:r w:rsidRPr="002F30CC">
        <w:rPr>
          <w:sz w:val="24"/>
          <w:szCs w:val="24"/>
        </w:rPr>
        <w:t xml:space="preserve"> как следствие </w:t>
      </w:r>
      <w:r w:rsidR="009D6EA3" w:rsidRPr="002F30CC">
        <w:rPr>
          <w:sz w:val="24"/>
          <w:szCs w:val="24"/>
        </w:rPr>
        <w:t xml:space="preserve">‒ </w:t>
      </w:r>
      <w:r w:rsidRPr="002F30CC">
        <w:rPr>
          <w:sz w:val="24"/>
          <w:szCs w:val="24"/>
        </w:rPr>
        <w:t xml:space="preserve">к неэффективному использованию средств бюджета, иными словами </w:t>
      </w:r>
      <w:r w:rsidR="009D6EA3" w:rsidRPr="002F30CC">
        <w:rPr>
          <w:sz w:val="24"/>
          <w:szCs w:val="24"/>
        </w:rPr>
        <w:t xml:space="preserve">– к </w:t>
      </w:r>
      <w:r w:rsidRPr="002F30CC">
        <w:rPr>
          <w:sz w:val="24"/>
          <w:szCs w:val="24"/>
        </w:rPr>
        <w:t>ущербу бюджета муниципального образования</w:t>
      </w:r>
      <w:r w:rsidR="00AA2E5F" w:rsidRPr="002F30CC">
        <w:rPr>
          <w:sz w:val="24"/>
          <w:szCs w:val="24"/>
        </w:rPr>
        <w:t xml:space="preserve"> </w:t>
      </w:r>
    </w:p>
    <w:p w14:paraId="0D1F6215" w14:textId="290A19A8" w:rsidR="00055B46" w:rsidRPr="002F30CC" w:rsidRDefault="00AA2E5F" w:rsidP="00827125">
      <w:pPr>
        <w:tabs>
          <w:tab w:val="left" w:pos="567"/>
          <w:tab w:val="left" w:pos="1134"/>
        </w:tabs>
        <w:spacing w:line="240" w:lineRule="auto"/>
        <w:ind w:firstLine="567"/>
        <w:rPr>
          <w:sz w:val="24"/>
          <w:szCs w:val="24"/>
        </w:rPr>
      </w:pPr>
      <w:r w:rsidRPr="002F30CC">
        <w:rPr>
          <w:rFonts w:eastAsia="Calibri"/>
          <w:sz w:val="24"/>
          <w:szCs w:val="24"/>
          <w:lang w:eastAsia="en-US"/>
        </w:rPr>
        <w:t>Указанное нарушение влечет нарушение порядка учета объекта основных средств, согласно которому объектом основных средств признается объект имущества со всеми приспособлениями и принадлежностями или отдельный конструктивно обособленный предмет, предназначенный для выполнения определенных самостоятельных функций, или же обособленный комплекс конструктивно-сочлененных предметов, представляющих собой единое целое и предназначенных для выполнения определенной работы</w:t>
      </w:r>
      <w:r w:rsidR="009D6EA3" w:rsidRPr="002F30CC">
        <w:rPr>
          <w:rFonts w:eastAsia="Calibri"/>
          <w:sz w:val="24"/>
          <w:szCs w:val="24"/>
          <w:lang w:eastAsia="en-US"/>
        </w:rPr>
        <w:t>, в результате чего в</w:t>
      </w:r>
      <w:r w:rsidRPr="002F30CC">
        <w:rPr>
          <w:rFonts w:eastAsia="Calibri"/>
          <w:sz w:val="24"/>
          <w:szCs w:val="24"/>
          <w:lang w:eastAsia="en-US"/>
        </w:rPr>
        <w:t xml:space="preserve"> бухгалтерском учете </w:t>
      </w:r>
      <w:r w:rsidR="005F0B30" w:rsidRPr="002F30CC">
        <w:rPr>
          <w:rFonts w:eastAsia="Calibri"/>
          <w:sz w:val="24"/>
          <w:szCs w:val="24"/>
          <w:lang w:eastAsia="en-US"/>
        </w:rPr>
        <w:t xml:space="preserve">объектов контроля </w:t>
      </w:r>
      <w:r w:rsidRPr="002F30CC">
        <w:rPr>
          <w:rFonts w:eastAsia="Calibri"/>
          <w:sz w:val="24"/>
          <w:szCs w:val="24"/>
          <w:lang w:eastAsia="en-US"/>
        </w:rPr>
        <w:t>учитываются отдельные объекты движимого имущества, фактически представляющие собой комплекс предметов, которые выполняют одну определённую функцию, т.е. являются единым неделимым объектом основных средств</w:t>
      </w:r>
      <w:r w:rsidR="00055B46" w:rsidRPr="002F30CC">
        <w:rPr>
          <w:sz w:val="24"/>
          <w:szCs w:val="24"/>
        </w:rPr>
        <w:t>;</w:t>
      </w:r>
    </w:p>
    <w:p w14:paraId="080287A4" w14:textId="77777777" w:rsidR="00055B46" w:rsidRPr="002F30CC" w:rsidRDefault="00055B46" w:rsidP="00827125">
      <w:pPr>
        <w:tabs>
          <w:tab w:val="left" w:pos="567"/>
          <w:tab w:val="left" w:pos="1134"/>
        </w:tabs>
        <w:spacing w:line="240" w:lineRule="auto"/>
        <w:ind w:firstLine="567"/>
        <w:rPr>
          <w:sz w:val="24"/>
          <w:szCs w:val="24"/>
        </w:rPr>
      </w:pPr>
    </w:p>
    <w:p w14:paraId="641A410B" w14:textId="79DCB5A8" w:rsidR="00055B46" w:rsidRPr="002F30CC" w:rsidRDefault="002F6655" w:rsidP="009E47D2">
      <w:pPr>
        <w:tabs>
          <w:tab w:val="left" w:pos="567"/>
          <w:tab w:val="left" w:pos="1134"/>
        </w:tabs>
        <w:spacing w:line="240" w:lineRule="auto"/>
        <w:ind w:firstLine="567"/>
        <w:rPr>
          <w:rFonts w:eastAsia="Calibri"/>
          <w:sz w:val="24"/>
          <w:szCs w:val="24"/>
          <w:lang w:eastAsia="en-US"/>
        </w:rPr>
      </w:pPr>
      <w:r w:rsidRPr="002F30CC">
        <w:rPr>
          <w:rFonts w:eastAsia="Calibri"/>
          <w:sz w:val="24"/>
          <w:szCs w:val="24"/>
          <w:lang w:eastAsia="en-US"/>
        </w:rPr>
        <w:t>- не</w:t>
      </w:r>
      <w:r w:rsidR="00055B46" w:rsidRPr="002F30CC">
        <w:rPr>
          <w:rFonts w:eastAsia="Calibri"/>
          <w:sz w:val="24"/>
          <w:szCs w:val="24"/>
          <w:lang w:eastAsia="en-US"/>
        </w:rPr>
        <w:t>проведение конъюнктурного анализа (мониторинга рынка)</w:t>
      </w:r>
      <w:r w:rsidR="00A326AA" w:rsidRPr="002F30CC">
        <w:rPr>
          <w:rFonts w:eastAsia="Calibri"/>
          <w:sz w:val="24"/>
          <w:szCs w:val="24"/>
          <w:lang w:eastAsia="en-US"/>
        </w:rPr>
        <w:t xml:space="preserve"> муниципальным заказчиком</w:t>
      </w:r>
      <w:r w:rsidR="00055B46" w:rsidRPr="002F30CC">
        <w:rPr>
          <w:rFonts w:eastAsia="Calibri"/>
          <w:sz w:val="24"/>
          <w:szCs w:val="24"/>
          <w:lang w:eastAsia="en-US"/>
        </w:rPr>
        <w:t xml:space="preserve"> на отдельные товары </w:t>
      </w:r>
      <w:r w:rsidR="00A326AA" w:rsidRPr="002F30CC">
        <w:rPr>
          <w:rFonts w:eastAsia="Calibri"/>
          <w:sz w:val="24"/>
          <w:szCs w:val="24"/>
          <w:lang w:eastAsia="en-US"/>
        </w:rPr>
        <w:t>при формировании</w:t>
      </w:r>
      <w:r w:rsidR="00AA2E5F" w:rsidRPr="002F30CC">
        <w:rPr>
          <w:rFonts w:eastAsia="Calibri"/>
          <w:sz w:val="24"/>
          <w:szCs w:val="24"/>
          <w:lang w:eastAsia="en-US"/>
        </w:rPr>
        <w:t xml:space="preserve"> </w:t>
      </w:r>
      <w:r w:rsidR="009E47D2" w:rsidRPr="002F30CC">
        <w:rPr>
          <w:rFonts w:eastAsia="Calibri"/>
          <w:sz w:val="24"/>
          <w:szCs w:val="24"/>
          <w:lang w:eastAsia="en-US"/>
        </w:rPr>
        <w:t>начальной максимальной цены контрактов (НМЦК)</w:t>
      </w:r>
      <w:r w:rsidR="00AA2E5F" w:rsidRPr="002F30CC">
        <w:rPr>
          <w:rFonts w:eastAsia="Calibri"/>
          <w:sz w:val="24"/>
          <w:szCs w:val="24"/>
          <w:lang w:eastAsia="en-US"/>
        </w:rPr>
        <w:t xml:space="preserve"> при составлении смет, в котор</w:t>
      </w:r>
      <w:r w:rsidR="009E47D2" w:rsidRPr="002F30CC">
        <w:rPr>
          <w:rFonts w:eastAsia="Calibri"/>
          <w:sz w:val="24"/>
          <w:szCs w:val="24"/>
          <w:lang w:eastAsia="en-US"/>
        </w:rPr>
        <w:t>ые</w:t>
      </w:r>
      <w:r w:rsidR="00AA2E5F" w:rsidRPr="002F30CC">
        <w:rPr>
          <w:rFonts w:eastAsia="Calibri"/>
          <w:sz w:val="24"/>
          <w:szCs w:val="24"/>
          <w:lang w:eastAsia="en-US"/>
        </w:rPr>
        <w:t xml:space="preserve"> включаются позиции «цена поставщика»</w:t>
      </w:r>
      <w:r w:rsidR="00A326AA" w:rsidRPr="002F30CC">
        <w:rPr>
          <w:rFonts w:eastAsia="Calibri"/>
          <w:sz w:val="24"/>
          <w:szCs w:val="24"/>
          <w:lang w:eastAsia="en-US"/>
        </w:rPr>
        <w:t xml:space="preserve">, в силу чего </w:t>
      </w:r>
      <w:r w:rsidR="00055B46" w:rsidRPr="002F30CC">
        <w:rPr>
          <w:rFonts w:eastAsia="Calibri"/>
          <w:sz w:val="24"/>
          <w:szCs w:val="24"/>
          <w:lang w:eastAsia="en-US"/>
        </w:rPr>
        <w:t>может быть установлено завышение стоимости отдельных товаров, что</w:t>
      </w:r>
      <w:r w:rsidR="009E47D2" w:rsidRPr="002F30CC">
        <w:rPr>
          <w:rFonts w:eastAsia="Calibri"/>
          <w:sz w:val="24"/>
          <w:szCs w:val="24"/>
          <w:lang w:eastAsia="en-US"/>
        </w:rPr>
        <w:t>, в свою очередь,</w:t>
      </w:r>
      <w:r w:rsidR="00055B46" w:rsidRPr="002F30CC">
        <w:rPr>
          <w:rFonts w:eastAsia="Calibri"/>
          <w:sz w:val="24"/>
          <w:szCs w:val="24"/>
          <w:lang w:eastAsia="en-US"/>
        </w:rPr>
        <w:t xml:space="preserve"> может привести к избыточному расходованию бюджетных средств в рамках исполнения контрактов на </w:t>
      </w:r>
      <w:r w:rsidR="00AA2E5F" w:rsidRPr="002F30CC">
        <w:rPr>
          <w:rFonts w:eastAsia="Calibri"/>
          <w:sz w:val="24"/>
          <w:szCs w:val="24"/>
          <w:lang w:eastAsia="en-US"/>
        </w:rPr>
        <w:t>закупку товар</w:t>
      </w:r>
      <w:r w:rsidR="009E47D2" w:rsidRPr="002F30CC">
        <w:rPr>
          <w:rFonts w:eastAsia="Calibri"/>
          <w:sz w:val="24"/>
          <w:szCs w:val="24"/>
          <w:lang w:eastAsia="en-US"/>
        </w:rPr>
        <w:t>ов</w:t>
      </w:r>
      <w:r w:rsidR="00AA2E5F" w:rsidRPr="002F30CC">
        <w:rPr>
          <w:rFonts w:eastAsia="Calibri"/>
          <w:sz w:val="24"/>
          <w:szCs w:val="24"/>
          <w:lang w:eastAsia="en-US"/>
        </w:rPr>
        <w:t xml:space="preserve">, </w:t>
      </w:r>
      <w:r w:rsidR="00055B46" w:rsidRPr="002F30CC">
        <w:rPr>
          <w:rFonts w:eastAsia="Calibri"/>
          <w:sz w:val="24"/>
          <w:szCs w:val="24"/>
          <w:lang w:eastAsia="en-US"/>
        </w:rPr>
        <w:t>выполнение работ</w:t>
      </w:r>
      <w:r w:rsidR="00D16966" w:rsidRPr="002F30CC">
        <w:rPr>
          <w:rFonts w:eastAsia="Calibri"/>
          <w:sz w:val="24"/>
          <w:szCs w:val="24"/>
          <w:lang w:eastAsia="en-US"/>
        </w:rPr>
        <w:t>;</w:t>
      </w:r>
    </w:p>
    <w:p w14:paraId="6491712B" w14:textId="77777777" w:rsidR="00AA2E5F" w:rsidRPr="002F30CC" w:rsidRDefault="00AA2E5F" w:rsidP="00827125">
      <w:pPr>
        <w:tabs>
          <w:tab w:val="left" w:pos="567"/>
          <w:tab w:val="left" w:pos="1134"/>
        </w:tabs>
        <w:spacing w:line="240" w:lineRule="auto"/>
        <w:ind w:firstLine="567"/>
        <w:rPr>
          <w:rFonts w:eastAsia="Calibri"/>
          <w:b/>
          <w:iCs/>
          <w:sz w:val="24"/>
          <w:szCs w:val="24"/>
          <w:u w:val="single"/>
          <w:lang w:eastAsia="en-US"/>
        </w:rPr>
      </w:pPr>
    </w:p>
    <w:p w14:paraId="37AAA7D9" w14:textId="6417AED3" w:rsidR="00055B46" w:rsidRPr="002F30CC" w:rsidRDefault="00AA2E5F" w:rsidP="00827125">
      <w:pPr>
        <w:tabs>
          <w:tab w:val="left" w:pos="567"/>
          <w:tab w:val="left" w:pos="1134"/>
        </w:tabs>
        <w:spacing w:line="240" w:lineRule="auto"/>
        <w:ind w:firstLine="567"/>
        <w:rPr>
          <w:iCs/>
          <w:sz w:val="24"/>
          <w:szCs w:val="24"/>
        </w:rPr>
      </w:pPr>
      <w:r w:rsidRPr="002F30CC">
        <w:rPr>
          <w:rFonts w:eastAsia="Calibri"/>
          <w:iCs/>
          <w:sz w:val="24"/>
          <w:szCs w:val="24"/>
          <w:lang w:eastAsia="en-US"/>
        </w:rPr>
        <w:t xml:space="preserve">- </w:t>
      </w:r>
      <w:r w:rsidR="00055B46" w:rsidRPr="002F30CC">
        <w:rPr>
          <w:rFonts w:eastAsia="Calibri"/>
          <w:iCs/>
          <w:sz w:val="24"/>
          <w:szCs w:val="24"/>
          <w:lang w:eastAsia="en-US"/>
        </w:rPr>
        <w:t>нарушение ст.93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</w:t>
      </w:r>
      <w:r w:rsidRPr="002F30CC">
        <w:rPr>
          <w:rFonts w:eastAsia="Calibri"/>
          <w:iCs/>
          <w:sz w:val="24"/>
          <w:szCs w:val="24"/>
          <w:lang w:eastAsia="en-US"/>
        </w:rPr>
        <w:t xml:space="preserve">, когда </w:t>
      </w:r>
      <w:r w:rsidR="00055B46" w:rsidRPr="002F30CC">
        <w:rPr>
          <w:rFonts w:eastAsia="Calibri"/>
          <w:iCs/>
          <w:sz w:val="24"/>
          <w:szCs w:val="24"/>
          <w:lang w:eastAsia="en-US"/>
        </w:rPr>
        <w:t>в договоре отсутствуют сведения о расч</w:t>
      </w:r>
      <w:r w:rsidR="00D16966" w:rsidRPr="002F30CC">
        <w:rPr>
          <w:rFonts w:eastAsia="Calibri"/>
          <w:iCs/>
          <w:sz w:val="24"/>
          <w:szCs w:val="24"/>
          <w:lang w:eastAsia="en-US"/>
        </w:rPr>
        <w:t>ете и обосновании цены договора;</w:t>
      </w:r>
    </w:p>
    <w:p w14:paraId="490C9D29" w14:textId="5F2A270D" w:rsidR="00B11F2F" w:rsidRPr="002F30CC" w:rsidRDefault="00B11F2F" w:rsidP="00827125">
      <w:pPr>
        <w:tabs>
          <w:tab w:val="left" w:pos="567"/>
        </w:tabs>
        <w:spacing w:line="240" w:lineRule="auto"/>
        <w:ind w:firstLine="567"/>
        <w:rPr>
          <w:sz w:val="24"/>
          <w:szCs w:val="24"/>
        </w:rPr>
      </w:pPr>
    </w:p>
    <w:p w14:paraId="7B724F68" w14:textId="20A0B638" w:rsidR="00823B4B" w:rsidRPr="002F30CC" w:rsidRDefault="00AA2E5F" w:rsidP="00827125">
      <w:pPr>
        <w:tabs>
          <w:tab w:val="left" w:pos="567"/>
        </w:tabs>
        <w:spacing w:line="240" w:lineRule="auto"/>
        <w:ind w:firstLine="567"/>
        <w:rPr>
          <w:sz w:val="24"/>
          <w:szCs w:val="24"/>
        </w:rPr>
      </w:pPr>
      <w:r w:rsidRPr="002F30CC">
        <w:rPr>
          <w:sz w:val="24"/>
          <w:szCs w:val="24"/>
        </w:rPr>
        <w:t>- отсутствие внутреннего финансового аудита ГРБС, в том числе в части</w:t>
      </w:r>
      <w:r w:rsidR="00D16966" w:rsidRPr="002F30CC">
        <w:rPr>
          <w:sz w:val="24"/>
          <w:szCs w:val="24"/>
        </w:rPr>
        <w:t xml:space="preserve"> контроля за</w:t>
      </w:r>
      <w:r w:rsidR="00823B4B" w:rsidRPr="002F30CC">
        <w:rPr>
          <w:sz w:val="24"/>
          <w:szCs w:val="24"/>
        </w:rPr>
        <w:t xml:space="preserve"> </w:t>
      </w:r>
      <w:r w:rsidRPr="002F30CC">
        <w:rPr>
          <w:sz w:val="24"/>
          <w:szCs w:val="24"/>
        </w:rPr>
        <w:t>соблюдением</w:t>
      </w:r>
      <w:r w:rsidR="00823B4B" w:rsidRPr="002F30CC">
        <w:rPr>
          <w:sz w:val="24"/>
          <w:szCs w:val="24"/>
        </w:rPr>
        <w:t xml:space="preserve"> Порядка определения объема и условий предоставления субсидий на иные цели муниципальным бюджетным и автономным учреждениям, исключив случаи предоставления субсидии в отсутствие расчётов и обоснований, определяющих сумму предоставления субсидии</w:t>
      </w:r>
      <w:r w:rsidR="00D16966" w:rsidRPr="002F30CC">
        <w:rPr>
          <w:sz w:val="24"/>
          <w:szCs w:val="24"/>
        </w:rPr>
        <w:t>.</w:t>
      </w:r>
    </w:p>
    <w:p w14:paraId="112BE21E" w14:textId="77777777" w:rsidR="00B11F2F" w:rsidRPr="002F30CC" w:rsidRDefault="00B11F2F" w:rsidP="00827125">
      <w:pPr>
        <w:tabs>
          <w:tab w:val="left" w:pos="851"/>
        </w:tabs>
        <w:spacing w:line="240" w:lineRule="auto"/>
        <w:ind w:firstLine="567"/>
        <w:rPr>
          <w:sz w:val="24"/>
          <w:szCs w:val="24"/>
        </w:rPr>
      </w:pPr>
    </w:p>
    <w:p w14:paraId="1FEE0335" w14:textId="002472D5" w:rsidR="00823B4B" w:rsidRPr="002F30CC" w:rsidRDefault="00AA2E5F" w:rsidP="00827125">
      <w:pPr>
        <w:tabs>
          <w:tab w:val="left" w:pos="1134"/>
        </w:tabs>
        <w:spacing w:line="240" w:lineRule="auto"/>
        <w:ind w:firstLine="567"/>
        <w:rPr>
          <w:b/>
          <w:iCs/>
          <w:color w:val="000000"/>
          <w:sz w:val="24"/>
          <w:szCs w:val="24"/>
        </w:rPr>
      </w:pPr>
      <w:r w:rsidRPr="002F30CC">
        <w:rPr>
          <w:b/>
          <w:iCs/>
          <w:color w:val="000000"/>
          <w:sz w:val="24"/>
          <w:szCs w:val="24"/>
        </w:rPr>
        <w:t>Кон</w:t>
      </w:r>
      <w:r w:rsidR="00C45E08" w:rsidRPr="002F30CC">
        <w:rPr>
          <w:b/>
          <w:iCs/>
          <w:color w:val="000000"/>
          <w:sz w:val="24"/>
          <w:szCs w:val="24"/>
        </w:rPr>
        <w:t>т</w:t>
      </w:r>
      <w:r w:rsidRPr="002F30CC">
        <w:rPr>
          <w:b/>
          <w:iCs/>
          <w:color w:val="000000"/>
          <w:sz w:val="24"/>
          <w:szCs w:val="24"/>
        </w:rPr>
        <w:t xml:space="preserve">рольно-счетные органы проводят </w:t>
      </w:r>
      <w:r w:rsidR="00823B4B" w:rsidRPr="002F30CC">
        <w:rPr>
          <w:b/>
          <w:iCs/>
          <w:color w:val="000000"/>
          <w:sz w:val="24"/>
          <w:szCs w:val="24"/>
        </w:rPr>
        <w:t xml:space="preserve">анализ проектно-сметной документации на предмет завышения стоимости товаров и материалов по позициям «Конъюнктурный анализ (КА)» в локально-сметных расчётах для приведения цен к уровню средней цены по рынку (с учётом соответствующего коэффициента инфляции), а также на предмет завышения стоимости видов работ и материалов, учтённых в </w:t>
      </w:r>
      <w:r w:rsidR="00B11F2F" w:rsidRPr="002F30CC">
        <w:rPr>
          <w:b/>
          <w:iCs/>
          <w:color w:val="000000"/>
          <w:sz w:val="24"/>
          <w:szCs w:val="24"/>
        </w:rPr>
        <w:t>к</w:t>
      </w:r>
      <w:r w:rsidR="00823B4B" w:rsidRPr="002F30CC">
        <w:rPr>
          <w:b/>
          <w:iCs/>
          <w:color w:val="000000"/>
          <w:sz w:val="24"/>
          <w:szCs w:val="24"/>
        </w:rPr>
        <w:t>онтракте.</w:t>
      </w:r>
    </w:p>
    <w:p w14:paraId="11560BDB" w14:textId="2D11860F" w:rsidR="009A670E" w:rsidRPr="002F30CC" w:rsidRDefault="009A670E" w:rsidP="00827125">
      <w:pPr>
        <w:tabs>
          <w:tab w:val="left" w:pos="1134"/>
        </w:tabs>
        <w:spacing w:line="240" w:lineRule="auto"/>
        <w:ind w:firstLine="567"/>
        <w:rPr>
          <w:b/>
          <w:iCs/>
          <w:color w:val="000000"/>
          <w:sz w:val="24"/>
          <w:szCs w:val="24"/>
        </w:rPr>
      </w:pPr>
    </w:p>
    <w:p w14:paraId="1450C9D2" w14:textId="69AD9E1E" w:rsidR="009A670E" w:rsidRPr="002F30CC" w:rsidRDefault="009A670E" w:rsidP="00827125">
      <w:pPr>
        <w:tabs>
          <w:tab w:val="left" w:pos="1134"/>
        </w:tabs>
        <w:spacing w:line="240" w:lineRule="auto"/>
        <w:ind w:firstLine="567"/>
        <w:rPr>
          <w:iCs/>
          <w:color w:val="000000"/>
          <w:sz w:val="24"/>
          <w:szCs w:val="24"/>
        </w:rPr>
      </w:pPr>
      <w:r w:rsidRPr="002F30CC">
        <w:rPr>
          <w:iCs/>
          <w:color w:val="000000"/>
          <w:sz w:val="24"/>
          <w:szCs w:val="24"/>
        </w:rPr>
        <w:t xml:space="preserve">Не хотелось бы игнорировать в выступлении еще одну из составляющих ущерба бюджету муниципального образования, такую как </w:t>
      </w:r>
      <w:r w:rsidRPr="002F30CC">
        <w:rPr>
          <w:iCs/>
          <w:color w:val="000000"/>
          <w:sz w:val="24"/>
          <w:szCs w:val="24"/>
          <w:u w:val="single"/>
        </w:rPr>
        <w:t xml:space="preserve">недопоступление </w:t>
      </w:r>
      <w:r w:rsidR="00FA0F60" w:rsidRPr="002F30CC">
        <w:rPr>
          <w:iCs/>
          <w:color w:val="000000"/>
          <w:sz w:val="24"/>
          <w:szCs w:val="24"/>
          <w:u w:val="single"/>
        </w:rPr>
        <w:t xml:space="preserve">бюджетных </w:t>
      </w:r>
      <w:r w:rsidRPr="002F30CC">
        <w:rPr>
          <w:iCs/>
          <w:color w:val="000000"/>
          <w:sz w:val="24"/>
          <w:szCs w:val="24"/>
          <w:u w:val="single"/>
        </w:rPr>
        <w:t>средств</w:t>
      </w:r>
      <w:r w:rsidRPr="002F30CC">
        <w:rPr>
          <w:iCs/>
          <w:color w:val="000000"/>
          <w:sz w:val="24"/>
          <w:szCs w:val="24"/>
        </w:rPr>
        <w:t>,</w:t>
      </w:r>
      <w:r w:rsidR="00FA0F60" w:rsidRPr="002F30CC">
        <w:rPr>
          <w:iCs/>
          <w:color w:val="000000"/>
          <w:sz w:val="24"/>
          <w:szCs w:val="24"/>
        </w:rPr>
        <w:t xml:space="preserve"> администрируемых органами местного самоуправления,</w:t>
      </w:r>
      <w:r w:rsidRPr="002F30CC">
        <w:rPr>
          <w:iCs/>
          <w:color w:val="000000"/>
          <w:sz w:val="24"/>
          <w:szCs w:val="24"/>
        </w:rPr>
        <w:t xml:space="preserve"> поскольку одним из факторов недопущения указанного нарушения является качественная постановка работы комиссии по мобилизации доходов бюджета муниципального образования, а также системный подход к взысканию задолженностей, составляющих доходные источники бюджета муниципального образования, и недопущение в работе явных преференций.</w:t>
      </w:r>
    </w:p>
    <w:sectPr w:rsidR="009A670E" w:rsidRPr="002F30CC" w:rsidSect="002F30CC">
      <w:footerReference w:type="default" r:id="rId7"/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11FBF2" w14:textId="77777777" w:rsidR="008C456A" w:rsidRDefault="008C456A" w:rsidP="008C456A">
      <w:pPr>
        <w:spacing w:line="240" w:lineRule="auto"/>
      </w:pPr>
      <w:r>
        <w:separator/>
      </w:r>
    </w:p>
  </w:endnote>
  <w:endnote w:type="continuationSeparator" w:id="0">
    <w:p w14:paraId="58E2F742" w14:textId="77777777" w:rsidR="008C456A" w:rsidRDefault="008C456A" w:rsidP="008C45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03924942"/>
      <w:docPartObj>
        <w:docPartGallery w:val="Page Numbers (Bottom of Page)"/>
        <w:docPartUnique/>
      </w:docPartObj>
    </w:sdtPr>
    <w:sdtEndPr/>
    <w:sdtContent>
      <w:p w14:paraId="2C136A10" w14:textId="4BC9E225" w:rsidR="00D53206" w:rsidRDefault="00D53206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0F585625" w14:textId="77777777" w:rsidR="008C456A" w:rsidRDefault="008C456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9C84C4" w14:textId="77777777" w:rsidR="008C456A" w:rsidRDefault="008C456A" w:rsidP="008C456A">
      <w:pPr>
        <w:spacing w:line="240" w:lineRule="auto"/>
      </w:pPr>
      <w:r>
        <w:separator/>
      </w:r>
    </w:p>
  </w:footnote>
  <w:footnote w:type="continuationSeparator" w:id="0">
    <w:p w14:paraId="7C3F8E98" w14:textId="77777777" w:rsidR="008C456A" w:rsidRDefault="008C456A" w:rsidP="008C456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92255"/>
    <w:multiLevelType w:val="multilevel"/>
    <w:tmpl w:val="3C561DC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6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852" w:hanging="720"/>
      </w:pPr>
      <w:rPr>
        <w:rFonts w:hint="default"/>
        <w:i w:val="0"/>
        <w:iCs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1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28" w:hanging="1800"/>
      </w:pPr>
      <w:rPr>
        <w:rFonts w:hint="default"/>
      </w:rPr>
    </w:lvl>
  </w:abstractNum>
  <w:abstractNum w:abstractNumId="1" w15:restartNumberingAfterBreak="0">
    <w:nsid w:val="0BAB4409"/>
    <w:multiLevelType w:val="hybridMultilevel"/>
    <w:tmpl w:val="BE9A8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B397A"/>
    <w:multiLevelType w:val="multilevel"/>
    <w:tmpl w:val="570865A0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C416496"/>
    <w:multiLevelType w:val="hybridMultilevel"/>
    <w:tmpl w:val="1CF442DA"/>
    <w:lvl w:ilvl="0" w:tplc="F9FA9A1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82DB1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06FA1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F6233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7E955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F2BD4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2863A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6A114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08A50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A30683"/>
    <w:multiLevelType w:val="multilevel"/>
    <w:tmpl w:val="570865A0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9AF0803"/>
    <w:multiLevelType w:val="hybridMultilevel"/>
    <w:tmpl w:val="3022DC86"/>
    <w:lvl w:ilvl="0" w:tplc="C040F9D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42C26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644CE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6AA00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F4CA6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B077A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28426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6E6E7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28E0D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116"/>
    <w:rsid w:val="000049FD"/>
    <w:rsid w:val="00055B46"/>
    <w:rsid w:val="00091A4A"/>
    <w:rsid w:val="00103A8A"/>
    <w:rsid w:val="001C17C8"/>
    <w:rsid w:val="001E738A"/>
    <w:rsid w:val="00203093"/>
    <w:rsid w:val="002A7F01"/>
    <w:rsid w:val="002C3ABA"/>
    <w:rsid w:val="002C5116"/>
    <w:rsid w:val="002D62D1"/>
    <w:rsid w:val="002F30CC"/>
    <w:rsid w:val="002F6655"/>
    <w:rsid w:val="0034370E"/>
    <w:rsid w:val="004353CE"/>
    <w:rsid w:val="00487EA9"/>
    <w:rsid w:val="004B4F01"/>
    <w:rsid w:val="004D2E11"/>
    <w:rsid w:val="004F5A88"/>
    <w:rsid w:val="005910E8"/>
    <w:rsid w:val="005D4F93"/>
    <w:rsid w:val="005F0B30"/>
    <w:rsid w:val="0079172C"/>
    <w:rsid w:val="00823B4B"/>
    <w:rsid w:val="00827125"/>
    <w:rsid w:val="00827658"/>
    <w:rsid w:val="00864C74"/>
    <w:rsid w:val="008C456A"/>
    <w:rsid w:val="00905A34"/>
    <w:rsid w:val="0096038E"/>
    <w:rsid w:val="009A670E"/>
    <w:rsid w:val="009D6EA3"/>
    <w:rsid w:val="009E47D2"/>
    <w:rsid w:val="00A21C79"/>
    <w:rsid w:val="00A326AA"/>
    <w:rsid w:val="00A87CDA"/>
    <w:rsid w:val="00A94621"/>
    <w:rsid w:val="00AA2E5F"/>
    <w:rsid w:val="00AC467C"/>
    <w:rsid w:val="00AE0DE0"/>
    <w:rsid w:val="00B11F2F"/>
    <w:rsid w:val="00B27BC3"/>
    <w:rsid w:val="00B32D2C"/>
    <w:rsid w:val="00B46C20"/>
    <w:rsid w:val="00B544B9"/>
    <w:rsid w:val="00B66A90"/>
    <w:rsid w:val="00BD0FF0"/>
    <w:rsid w:val="00BE65E5"/>
    <w:rsid w:val="00BF0B86"/>
    <w:rsid w:val="00C10D09"/>
    <w:rsid w:val="00C45E08"/>
    <w:rsid w:val="00C72EE8"/>
    <w:rsid w:val="00D16966"/>
    <w:rsid w:val="00D25D5F"/>
    <w:rsid w:val="00D427FA"/>
    <w:rsid w:val="00D47D54"/>
    <w:rsid w:val="00D53206"/>
    <w:rsid w:val="00E011BE"/>
    <w:rsid w:val="00E65DFA"/>
    <w:rsid w:val="00EA3F2B"/>
    <w:rsid w:val="00EA4B1D"/>
    <w:rsid w:val="00EB200D"/>
    <w:rsid w:val="00EC564D"/>
    <w:rsid w:val="00EE4183"/>
    <w:rsid w:val="00F16A84"/>
    <w:rsid w:val="00F82214"/>
    <w:rsid w:val="00FA0F60"/>
    <w:rsid w:val="00FA755B"/>
    <w:rsid w:val="00FB3208"/>
    <w:rsid w:val="00FC37BA"/>
    <w:rsid w:val="00FF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13243"/>
  <w15:chartTrackingRefBased/>
  <w15:docId w15:val="{81B302C7-FEFB-41FB-BE9F-D7D7F4918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3B4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823B4B"/>
    <w:pPr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</w:rPr>
  </w:style>
  <w:style w:type="character" w:customStyle="1" w:styleId="a4">
    <w:name w:val="Абзац списка Знак"/>
    <w:link w:val="a3"/>
    <w:uiPriority w:val="99"/>
    <w:rsid w:val="00823B4B"/>
    <w:rPr>
      <w:rFonts w:ascii="Calibri" w:eastAsia="Times New Roman" w:hAnsi="Calibri" w:cs="Calibri"/>
      <w:lang w:eastAsia="ru-RU"/>
    </w:rPr>
  </w:style>
  <w:style w:type="paragraph" w:styleId="a5">
    <w:name w:val="No Spacing"/>
    <w:uiPriority w:val="1"/>
    <w:qFormat/>
    <w:rsid w:val="00D427FA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6">
    <w:name w:val="Normal (Web)"/>
    <w:basedOn w:val="a"/>
    <w:uiPriority w:val="99"/>
    <w:unhideWhenUsed/>
    <w:qFormat/>
    <w:rsid w:val="001E738A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8C456A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C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C456A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C456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78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4</Pages>
  <Words>1831</Words>
  <Characters>10439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Элеонора Чернышова</cp:lastModifiedBy>
  <cp:revision>37</cp:revision>
  <dcterms:created xsi:type="dcterms:W3CDTF">2023-10-31T09:08:00Z</dcterms:created>
  <dcterms:modified xsi:type="dcterms:W3CDTF">2023-11-02T07:27:00Z</dcterms:modified>
</cp:coreProperties>
</file>